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media/image3.png" ContentType="image/png"/>
  <Override PartName="/word/media/image2.png" ContentType="image/png"/>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3.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ITENSDOCONTRATO"/>
        <w:spacing w:lineRule="auto" w:line="276"/>
        <w:ind w:left="0" w:hanging="0"/>
        <w:jc w:val="center"/>
        <w:rPr>
          <w:rFonts w:ascii="Verdana" w:hAnsi="Verdana"/>
          <w:b/>
          <w:b/>
          <w:bCs w:val="false"/>
          <w:sz w:val="22"/>
          <w:szCs w:val="22"/>
        </w:rPr>
      </w:pPr>
      <w:r>
        <w:rPr>
          <w:rFonts w:ascii="Verdana" w:hAnsi="Verdana"/>
          <w:b/>
          <w:bCs w:val="false"/>
          <w:sz w:val="22"/>
          <w:szCs w:val="22"/>
        </w:rPr>
      </w:r>
    </w:p>
    <w:p>
      <w:pPr>
        <w:pStyle w:val="ITENSDOCONTRATO"/>
        <w:spacing w:lineRule="auto" w:line="276"/>
        <w:ind w:left="0" w:hanging="0"/>
        <w:jc w:val="center"/>
        <w:rPr>
          <w:b/>
          <w:b/>
          <w:bCs w:val="false"/>
        </w:rPr>
      </w:pPr>
      <w:r>
        <w:rPr>
          <w:rFonts w:ascii="Verdana" w:hAnsi="Verdana"/>
          <w:b/>
          <w:bCs w:val="false"/>
          <w:sz w:val="22"/>
          <w:szCs w:val="22"/>
        </w:rPr>
        <w:t>ANEXO II-1</w:t>
      </w:r>
    </w:p>
    <w:p>
      <w:pPr>
        <w:pStyle w:val="ITENSDOCONTRATO"/>
        <w:spacing w:lineRule="auto" w:line="276"/>
        <w:ind w:left="0" w:hanging="0"/>
        <w:jc w:val="center"/>
        <w:rPr>
          <w:rFonts w:ascii="Verdana" w:hAnsi="Verdana"/>
          <w:b/>
          <w:b/>
          <w:bCs w:val="false"/>
          <w:sz w:val="22"/>
          <w:szCs w:val="22"/>
        </w:rPr>
      </w:pPr>
      <w:r>
        <w:rPr>
          <w:rFonts w:ascii="Verdana" w:hAnsi="Verdana"/>
          <w:b/>
          <w:bCs w:val="false"/>
          <w:sz w:val="22"/>
          <w:szCs w:val="22"/>
        </w:rPr>
      </w:r>
    </w:p>
    <w:p>
      <w:pPr>
        <w:pStyle w:val="Normal"/>
        <w:widowControl w:val="false"/>
        <w:suppressAutoHyphens w:val="true"/>
        <w:bidi w:val="0"/>
        <w:spacing w:lineRule="auto" w:line="276" w:before="0" w:after="200"/>
        <w:ind w:left="5669" w:right="0" w:hanging="5669"/>
        <w:jc w:val="left"/>
        <w:rPr>
          <w:rFonts w:cs="Verdana"/>
          <w:b/>
          <w:b/>
        </w:rPr>
      </w:pPr>
      <w:r>
        <w:rPr>
          <w:rFonts w:cs="Verdana" w:ascii="Verdana" w:hAnsi="Verdana"/>
          <w:b/>
          <w:sz w:val="22"/>
          <w:szCs w:val="22"/>
        </w:rPr>
        <w:t xml:space="preserve">MINUTA DE CONTRATO Nº ___/2024. </w:t>
        <w:tab/>
      </w:r>
    </w:p>
    <w:p>
      <w:pPr>
        <w:pStyle w:val="Normal"/>
        <w:widowControl w:val="false"/>
        <w:suppressAutoHyphens w:val="true"/>
        <w:bidi w:val="0"/>
        <w:spacing w:lineRule="auto" w:line="276" w:before="0" w:after="200"/>
        <w:ind w:left="5669" w:right="0" w:hanging="5669"/>
        <w:jc w:val="left"/>
        <w:rPr>
          <w:rFonts w:ascii="Verdana" w:hAnsi="Verdana" w:cs="Verdana"/>
          <w:b/>
          <w:b/>
          <w:sz w:val="22"/>
          <w:szCs w:val="22"/>
        </w:rPr>
      </w:pPr>
      <w:r>
        <w:rPr>
          <w:rFonts w:cs="Verdana" w:ascii="Verdana" w:hAnsi="Verdana"/>
          <w:b/>
          <w:sz w:val="22"/>
          <w:szCs w:val="22"/>
        </w:rPr>
      </w:r>
    </w:p>
    <w:p>
      <w:pPr>
        <w:pStyle w:val="Normal"/>
        <w:tabs>
          <w:tab w:val="clear" w:pos="708"/>
          <w:tab w:val="left" w:pos="-414" w:leader="none"/>
          <w:tab w:val="left" w:pos="0" w:leader="none"/>
          <w:tab w:val="left" w:pos="306" w:leader="none"/>
          <w:tab w:val="left" w:pos="360"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textAlignment w:val="baseline"/>
        <w:rPr>
          <w:rFonts w:ascii="Verdana" w:hAnsi="Verdana" w:eastAsia="Times New Roman" w:cs="Arial"/>
          <w:color w:val="000000"/>
          <w:sz w:val="22"/>
          <w:szCs w:val="22"/>
        </w:rPr>
      </w:pPr>
      <w:r>
        <w:rPr>
          <w:rFonts w:eastAsia="Times New Roman" w:cs="Arial" w:ascii="Verdana" w:hAnsi="Verdana"/>
          <w:color w:val="000000"/>
          <w:sz w:val="22"/>
          <w:szCs w:val="22"/>
        </w:rPr>
      </w:r>
    </w:p>
    <w:p>
      <w:pPr>
        <w:pStyle w:val="Normal"/>
        <w:jc w:val="both"/>
        <w:rPr>
          <w:rFonts w:cs="Verdana"/>
          <w:b/>
          <w:b/>
          <w:u w:val="single"/>
        </w:rPr>
      </w:pPr>
      <w:r>
        <w:rPr>
          <w:rFonts w:cs="Verdana" w:ascii="Verdana" w:hAnsi="Verdana"/>
          <w:b/>
          <w:sz w:val="22"/>
          <w:szCs w:val="22"/>
          <w:u w:val="single"/>
        </w:rPr>
        <w:t>PREÂMBULO</w:t>
      </w:r>
    </w:p>
    <w:p>
      <w:pPr>
        <w:pStyle w:val="Normal"/>
        <w:jc w:val="both"/>
        <w:rPr>
          <w:rFonts w:ascii="Verdana" w:hAnsi="Verdana"/>
          <w:sz w:val="22"/>
          <w:szCs w:val="22"/>
        </w:rPr>
      </w:pPr>
      <w:r>
        <w:rPr>
          <w:rFonts w:cs="Verdana" w:ascii="Verdana" w:hAnsi="Verdana"/>
          <w:b/>
          <w:sz w:val="22"/>
          <w:szCs w:val="22"/>
        </w:rPr>
        <w:t>a) CONTRATANTES</w:t>
      </w:r>
      <w:r>
        <w:rPr>
          <w:rFonts w:cs="Verdana" w:ascii="Verdana" w:hAnsi="Verdana"/>
          <w:sz w:val="22"/>
          <w:szCs w:val="22"/>
        </w:rPr>
        <w:t>: O Instituto de Previdência dos Servidores Públicos do Município de São Gabriel da Palha - SGP-PREV, com sua sede na Av. Bertolo Malacarne, 168, sala 02, A, B, C, Bairro Glória, nesta cidade, inscrito no CNPJ sob o Nº 05.251.479/0001-52, a seguir denominado simplesmente CONTRATANTE e a empresa __________________, estabelecida à ________________ doravante denominada simplesmente CONTRATADA.</w:t>
      </w:r>
    </w:p>
    <w:p>
      <w:pPr>
        <w:pStyle w:val="Normal"/>
        <w:tabs>
          <w:tab w:val="clear" w:pos="708"/>
          <w:tab w:val="left" w:pos="0" w:leader="none"/>
        </w:tabs>
        <w:jc w:val="both"/>
        <w:rPr>
          <w:rFonts w:ascii="Verdana" w:hAnsi="Verdana"/>
          <w:sz w:val="22"/>
          <w:szCs w:val="22"/>
        </w:rPr>
      </w:pPr>
      <w:r>
        <w:rPr>
          <w:rFonts w:cs="Verdana" w:ascii="Verdana" w:hAnsi="Verdana"/>
          <w:b/>
          <w:sz w:val="22"/>
          <w:szCs w:val="22"/>
        </w:rPr>
        <w:t>b) LOCAL E DATA</w:t>
      </w:r>
      <w:r>
        <w:rPr>
          <w:rFonts w:cs="Verdana" w:ascii="Verdana" w:hAnsi="Verdana"/>
          <w:sz w:val="22"/>
          <w:szCs w:val="22"/>
        </w:rPr>
        <w:t>: Lavrado e assinado nesta cidade, na Av. Bertolo Malacarne, 168, sala 02, A, B, C, Bairro Glória, sede do Instituto de Previdência dos Servidores Públicos do Município de São Gabriel da Palha no dia ___ do mês de ________ do ano de 2024.</w:t>
      </w:r>
    </w:p>
    <w:p>
      <w:pPr>
        <w:pStyle w:val="Normal"/>
        <w:tabs>
          <w:tab w:val="clear" w:pos="708"/>
          <w:tab w:val="left" w:pos="0" w:leader="none"/>
        </w:tabs>
        <w:jc w:val="both"/>
        <w:rPr>
          <w:rFonts w:ascii="Verdana" w:hAnsi="Verdana"/>
          <w:sz w:val="22"/>
          <w:szCs w:val="22"/>
        </w:rPr>
      </w:pPr>
      <w:r>
        <w:rPr>
          <w:rFonts w:cs="Verdana" w:ascii="Verdana" w:hAnsi="Verdana"/>
          <w:b/>
          <w:sz w:val="22"/>
          <w:szCs w:val="22"/>
        </w:rPr>
        <w:t>c) REPRESENTANTES</w:t>
      </w:r>
      <w:r>
        <w:rPr>
          <w:rFonts w:cs="Verdana" w:ascii="Verdana" w:hAnsi="Verdana"/>
          <w:sz w:val="22"/>
          <w:szCs w:val="22"/>
        </w:rPr>
        <w:t>: Representa o CONTRATANTE, a Senhora _______________, Diretora-Presidente, brasileira, casada, residente na ___________, nesta cidade, inscrita no CPF/MF sob o n.º _______________ e a CONTRATADA _____________.</w:t>
      </w:r>
      <w:r>
        <w:rPr>
          <w:rFonts w:eastAsia="Calibri" w:cs="Arial" w:ascii="Verdana" w:hAnsi="Verdana"/>
          <w:bCs/>
          <w:color w:val="000000"/>
          <w:sz w:val="22"/>
          <w:szCs w:val="22"/>
        </w:rPr>
        <w:t xml:space="preserve"> tendo em vista o que consta no </w:t>
      </w:r>
      <w:r>
        <w:rPr>
          <w:rFonts w:eastAsia="Calibri" w:cs="Arial" w:ascii="Verdana" w:hAnsi="Verdana"/>
          <w:b/>
          <w:bCs/>
          <w:color w:val="000000"/>
          <w:sz w:val="22"/>
          <w:szCs w:val="22"/>
        </w:rPr>
        <w:t>Processo Administrativo nº 00</w:t>
      </w:r>
      <w:r>
        <w:rPr>
          <w:rFonts w:eastAsia="Calibri" w:cs="Arial" w:ascii="Verdana" w:hAnsi="Verdana"/>
          <w:b/>
          <w:bCs/>
          <w:color w:val="000000"/>
          <w:sz w:val="22"/>
          <w:szCs w:val="22"/>
        </w:rPr>
        <w:t>84</w:t>
      </w:r>
      <w:r>
        <w:rPr>
          <w:rFonts w:eastAsia="Calibri" w:cs="Arial" w:ascii="Verdana" w:hAnsi="Verdana"/>
          <w:b/>
          <w:bCs/>
          <w:color w:val="000000"/>
          <w:sz w:val="22"/>
          <w:szCs w:val="22"/>
        </w:rPr>
        <w:t>/2024</w:t>
      </w:r>
      <w:r>
        <w:rPr>
          <w:rFonts w:eastAsia="Calibri" w:cs="Arial" w:ascii="Verdana" w:hAnsi="Verdana"/>
          <w:bCs/>
          <w:color w:val="000000"/>
          <w:sz w:val="22"/>
          <w:szCs w:val="22"/>
        </w:rPr>
        <w:t>,</w:t>
      </w:r>
      <w:r>
        <w:rPr>
          <w:rFonts w:eastAsia="Calibri" w:cs="Arial" w:ascii="Verdana" w:hAnsi="Verdana"/>
          <w:b/>
          <w:bCs/>
          <w:color w:val="000000"/>
          <w:sz w:val="22"/>
          <w:szCs w:val="22"/>
        </w:rPr>
        <w:t xml:space="preserve"> </w:t>
      </w:r>
      <w:r>
        <w:rPr>
          <w:rFonts w:eastAsia="Times New Roman" w:cs="Arial" w:ascii="Verdana" w:hAnsi="Verdana"/>
          <w:color w:val="000000"/>
          <w:sz w:val="22"/>
          <w:szCs w:val="22"/>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pPr>
        <w:pStyle w:val="CLUSULA"/>
        <w:spacing w:lineRule="auto" w:line="276"/>
        <w:ind w:left="0" w:hanging="0"/>
        <w:rPr>
          <w:rFonts w:ascii="Verdana" w:hAnsi="Verdana"/>
          <w:sz w:val="22"/>
          <w:szCs w:val="22"/>
        </w:rPr>
      </w:pPr>
      <w:r>
        <w:rPr>
          <w:rFonts w:ascii="Verdana" w:hAnsi="Verdana"/>
          <w:sz w:val="22"/>
          <w:szCs w:val="22"/>
        </w:rPr>
        <w:t>CLÁUSULA PRIMEIRA - DO OBJETO</w:t>
      </w:r>
    </w:p>
    <w:p>
      <w:pPr>
        <w:pStyle w:val="ITENSDOCONTRATO"/>
        <w:spacing w:lineRule="auto" w:line="276"/>
        <w:ind w:left="0" w:hanging="0"/>
        <w:rPr/>
      </w:pPr>
      <w:r>
        <w:rPr>
          <w:rFonts w:ascii="Verdana" w:hAnsi="Verdana"/>
          <w:sz w:val="22"/>
          <w:szCs w:val="22"/>
        </w:rPr>
        <w:t xml:space="preserve">1.1 - </w:t>
      </w:r>
      <w:bookmarkStart w:id="0" w:name="_Hlk116052592"/>
      <w:r>
        <w:rPr>
          <w:rFonts w:ascii="Verdana" w:hAnsi="Verdana"/>
          <w:sz w:val="22"/>
          <w:szCs w:val="22"/>
        </w:rPr>
        <w:t xml:space="preserve">Constitui objeto deste Instrumento a </w:t>
      </w:r>
      <w:r>
        <w:rPr>
          <w:rFonts w:cs="Arial" w:ascii="Verdana" w:hAnsi="Verdana"/>
          <w:sz w:val="22"/>
          <w:szCs w:val="22"/>
        </w:rPr>
        <w:t>c</w:t>
      </w:r>
      <w:r>
        <w:rPr>
          <w:rFonts w:eastAsia="Times New Roman" w:cs="Times New Roman" w:ascii="Verdana" w:hAnsi="Verdana"/>
          <w:b w:val="false"/>
          <w:bCs w:val="false"/>
          <w:iCs/>
          <w:color w:val="000000"/>
          <w:sz w:val="22"/>
          <w:szCs w:val="22"/>
        </w:rPr>
        <w:t>ontratação de empresa especializada para a prestação de serviços técnicos na área atuarial com a realização de Assessoria</w:t>
      </w:r>
      <w:r>
        <w:rPr>
          <w:rFonts w:eastAsia="Times New Roman" w:cs="Times New Roman" w:ascii="Verdana" w:hAnsi="Verdana"/>
          <w:b w:val="false"/>
          <w:bCs w:val="false"/>
          <w:iCs/>
          <w:color w:val="000000"/>
          <w:sz w:val="22"/>
          <w:szCs w:val="22"/>
          <w:highlight w:val="white"/>
        </w:rPr>
        <w:t xml:space="preserve"> Atuarial contínua,</w:t>
      </w:r>
      <w:r>
        <w:rPr>
          <w:rFonts w:eastAsia="Times New Roman" w:cs="Times New Roman" w:ascii="Verdana" w:hAnsi="Verdana"/>
          <w:b w:val="false"/>
          <w:bCs w:val="false"/>
          <w:iCs/>
          <w:color w:val="000000"/>
          <w:sz w:val="22"/>
          <w:szCs w:val="22"/>
        </w:rPr>
        <w:t xml:space="preserve"> avaliações e reavaliações atuariais do Regime Próprio de Previdência Social dos servidores do Município de São Gabriel da Palha - ES, administrado pelo Instituto de Previdência do Município de São Gabriel da Palha – SGP-PREV</w:t>
      </w:r>
      <w:r>
        <w:rPr>
          <w:rFonts w:ascii="Verdana" w:hAnsi="Verdana"/>
          <w:iCs/>
          <w:sz w:val="22"/>
          <w:szCs w:val="22"/>
        </w:rPr>
        <w:t>, no atendimento aos interesses institucionais do Órgão</w:t>
      </w:r>
      <w:r>
        <w:rPr>
          <w:rStyle w:val="Normaltextrun"/>
          <w:rFonts w:ascii="Verdana" w:hAnsi="Verdana"/>
          <w:color w:val="000000"/>
          <w:sz w:val="22"/>
          <w:szCs w:val="22"/>
          <w:shd w:fill="FFFFFF" w:val="clear"/>
        </w:rPr>
        <w:t>;</w:t>
      </w:r>
    </w:p>
    <w:p>
      <w:pPr>
        <w:pStyle w:val="ITENSDOCONTRATO"/>
        <w:spacing w:lineRule="auto" w:line="276"/>
        <w:ind w:left="0" w:hanging="0"/>
        <w:rPr>
          <w:rFonts w:ascii="Verdana" w:hAnsi="Verdana"/>
          <w:b/>
          <w:b/>
          <w:bCs w:val="false"/>
          <w:color w:val="333333"/>
          <w:sz w:val="22"/>
          <w:szCs w:val="22"/>
          <w:shd w:fill="FFFFFF" w:val="clear"/>
        </w:rPr>
      </w:pPr>
      <w:r>
        <w:rPr>
          <w:rFonts w:ascii="Verdana" w:hAnsi="Verdana"/>
          <w:b/>
          <w:bCs w:val="false"/>
          <w:color w:val="333333"/>
          <w:sz w:val="22"/>
          <w:szCs w:val="22"/>
          <w:shd w:fill="FFFFFF" w:val="clear"/>
        </w:rPr>
      </w:r>
    </w:p>
    <w:p>
      <w:pPr>
        <w:pStyle w:val="ITENSDOCONTRATO"/>
        <w:spacing w:lineRule="auto" w:line="276"/>
        <w:ind w:left="0" w:hanging="0"/>
        <w:rPr>
          <w:rFonts w:ascii="Verdana" w:hAnsi="Verdana"/>
          <w:sz w:val="22"/>
          <w:szCs w:val="22"/>
          <w:shd w:fill="FFFFFF" w:val="clear"/>
        </w:rPr>
      </w:pPr>
      <w:r>
        <w:rPr>
          <w:rStyle w:val="Texttruncateexpanded"/>
          <w:rFonts w:ascii="Verdana" w:hAnsi="Verdana"/>
          <w:sz w:val="22"/>
          <w:szCs w:val="22"/>
          <w:shd w:fill="FFFFFF" w:val="clear"/>
        </w:rPr>
        <w:t>1.2 - A descrição, condições, quantidades, exigências estão descritas no Termo de Referência, Anexo II do Edital de Dispensa Física de Licitação, e Anexo I do presente instrumento contratual.</w:t>
      </w:r>
    </w:p>
    <w:p>
      <w:pPr>
        <w:pStyle w:val="ITENSDOCONTRATO"/>
        <w:spacing w:lineRule="auto" w:line="276"/>
        <w:ind w:left="0" w:hanging="0"/>
        <w:rPr>
          <w:rFonts w:ascii="Verdana" w:hAnsi="Verdana"/>
          <w:sz w:val="22"/>
          <w:szCs w:val="22"/>
          <w:shd w:fill="FFFFFF" w:val="clear"/>
        </w:rPr>
      </w:pPr>
      <w:r>
        <w:rPr>
          <w:rFonts w:ascii="Verdana" w:hAnsi="Verdana"/>
          <w:sz w:val="22"/>
          <w:szCs w:val="22"/>
          <w:shd w:fill="FFFFFF" w:val="clear"/>
        </w:rPr>
      </w:r>
    </w:p>
    <w:p>
      <w:pPr>
        <w:pStyle w:val="ITENSDOCONTRATO"/>
        <w:spacing w:lineRule="auto" w:line="276"/>
        <w:ind w:left="0" w:hanging="0"/>
        <w:rPr>
          <w:rFonts w:ascii="Verdana" w:hAnsi="Verdana"/>
          <w:sz w:val="22"/>
          <w:szCs w:val="22"/>
          <w:shd w:fill="FFFFFF" w:val="clear"/>
        </w:rPr>
      </w:pPr>
      <w:r>
        <w:rPr>
          <w:rFonts w:ascii="Verdana" w:hAnsi="Verdana"/>
          <w:sz w:val="22"/>
          <w:szCs w:val="22"/>
          <w:shd w:fill="FFFFFF" w:val="clear"/>
        </w:rPr>
      </w:r>
    </w:p>
    <w:p>
      <w:pPr>
        <w:pStyle w:val="ITENSDOCONTRATO"/>
        <w:spacing w:lineRule="auto" w:line="276"/>
        <w:ind w:left="0" w:hanging="0"/>
        <w:rPr>
          <w:rFonts w:ascii="Verdana" w:hAnsi="Verdana"/>
          <w:sz w:val="22"/>
          <w:szCs w:val="22"/>
          <w:shd w:fill="FFFFFF" w:val="clear"/>
        </w:rPr>
      </w:pPr>
      <w:r>
        <w:rPr>
          <w:rFonts w:ascii="Verdana" w:hAnsi="Verdana"/>
          <w:sz w:val="22"/>
          <w:szCs w:val="22"/>
          <w:shd w:fill="FFFFFF" w:val="clear"/>
        </w:rPr>
      </w:r>
    </w:p>
    <w:p>
      <w:pPr>
        <w:pStyle w:val="ITENSDOCONTRATO"/>
        <w:spacing w:lineRule="auto" w:line="276"/>
        <w:ind w:left="0" w:hanging="0"/>
        <w:rPr>
          <w:rFonts w:ascii="Verdana" w:hAnsi="Verdana"/>
          <w:b/>
          <w:b/>
          <w:sz w:val="22"/>
          <w:szCs w:val="22"/>
        </w:rPr>
      </w:pPr>
      <w:r>
        <w:rPr>
          <w:rFonts w:ascii="Verdana" w:hAnsi="Verdana"/>
          <w:b/>
          <w:sz w:val="22"/>
          <w:szCs w:val="22"/>
        </w:rPr>
      </w:r>
    </w:p>
    <w:p>
      <w:pPr>
        <w:pStyle w:val="ITENSDOCONTRATO"/>
        <w:spacing w:lineRule="auto" w:line="276"/>
        <w:ind w:left="0" w:hanging="0"/>
        <w:rPr>
          <w:b/>
          <w:b/>
        </w:rPr>
      </w:pPr>
      <w:r>
        <w:rPr>
          <w:rFonts w:ascii="Verdana" w:hAnsi="Verdana"/>
          <w:b/>
          <w:sz w:val="22"/>
          <w:szCs w:val="22"/>
        </w:rPr>
        <w:t>CLÁUSULA SEGUNDA – DOS DOCUMENTOS INTEGRANTES</w:t>
      </w:r>
    </w:p>
    <w:p>
      <w:pPr>
        <w:pStyle w:val="ITENSDOCONTRATO"/>
        <w:spacing w:lineRule="auto" w:line="276"/>
        <w:ind w:left="0" w:hanging="0"/>
        <w:rPr/>
      </w:pPr>
      <w:r>
        <w:rPr>
          <w:rFonts w:ascii="Verdana" w:hAnsi="Verdana"/>
          <w:sz w:val="22"/>
          <w:szCs w:val="22"/>
        </w:rPr>
        <w:t>2.1 - Vinculam esta contratação, independente de transcrição, os documentos e instruções que compõem o Processo Administrativo nº 00</w:t>
      </w:r>
      <w:r>
        <w:rPr>
          <w:rFonts w:ascii="Verdana" w:hAnsi="Verdana"/>
          <w:sz w:val="22"/>
          <w:szCs w:val="22"/>
        </w:rPr>
        <w:t>84</w:t>
      </w:r>
      <w:r>
        <w:rPr>
          <w:rFonts w:ascii="Verdana" w:hAnsi="Verdana"/>
          <w:sz w:val="22"/>
          <w:szCs w:val="22"/>
        </w:rPr>
        <w:t xml:space="preserve">/2024, em especial, </w:t>
      </w:r>
      <w:r>
        <w:rPr>
          <w:rFonts w:eastAsia="Times New Roman" w:ascii="Verdana" w:hAnsi="Verdana"/>
          <w:sz w:val="22"/>
          <w:szCs w:val="22"/>
        </w:rPr>
        <w:t>o</w:t>
      </w:r>
      <w:r>
        <w:rPr>
          <w:rFonts w:eastAsia="Times New Roman" w:ascii="Verdana" w:hAnsi="Verdana"/>
          <w:b/>
          <w:sz w:val="22"/>
          <w:szCs w:val="22"/>
        </w:rPr>
        <w:t xml:space="preserve"> </w:t>
      </w:r>
      <w:r>
        <w:rPr>
          <w:rFonts w:ascii="Verdana" w:hAnsi="Verdana"/>
          <w:sz w:val="22"/>
          <w:szCs w:val="22"/>
        </w:rPr>
        <w:t xml:space="preserve">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p>
    <w:p>
      <w:pPr>
        <w:pStyle w:val="ITENSDOCONTRATO"/>
        <w:spacing w:lineRule="auto" w:line="276"/>
        <w:ind w:left="0" w:hanging="0"/>
        <w:rPr>
          <w:rFonts w:ascii="Verdana" w:hAnsi="Verdana"/>
          <w:b/>
          <w:b/>
          <w:sz w:val="22"/>
          <w:szCs w:val="22"/>
        </w:rPr>
      </w:pPr>
      <w:r>
        <w:rPr>
          <w:rFonts w:ascii="Verdana" w:hAnsi="Verdana"/>
          <w:b/>
          <w:sz w:val="22"/>
          <w:szCs w:val="22"/>
        </w:rPr>
      </w:r>
    </w:p>
    <w:p>
      <w:pPr>
        <w:pStyle w:val="ITENSDOCONTRATO"/>
        <w:spacing w:lineRule="auto" w:line="276"/>
        <w:ind w:left="0" w:hanging="0"/>
        <w:rPr>
          <w:b/>
          <w:b/>
        </w:rPr>
      </w:pPr>
      <w:r>
        <w:rPr>
          <w:rFonts w:ascii="Verdana" w:hAnsi="Verdana"/>
          <w:b/>
          <w:sz w:val="22"/>
          <w:szCs w:val="22"/>
        </w:rPr>
        <w:t>CLÁUSULA TERCEIRA – VIGÊNCIA</w:t>
      </w:r>
    </w:p>
    <w:p>
      <w:pPr>
        <w:pStyle w:val="ITENSDOCONTRATO"/>
        <w:spacing w:lineRule="auto" w:line="276"/>
        <w:ind w:left="0" w:hanging="0"/>
        <w:rPr>
          <w:rFonts w:ascii="Verdana" w:hAnsi="Verdana"/>
          <w:sz w:val="22"/>
          <w:szCs w:val="22"/>
        </w:rPr>
      </w:pPr>
      <w:r>
        <w:rPr>
          <w:rFonts w:ascii="Verdana" w:hAnsi="Verdana"/>
          <w:sz w:val="22"/>
          <w:szCs w:val="22"/>
        </w:rPr>
        <w:t xml:space="preserve">3.1 - O prazo de vigência da contratação é de </w:t>
      </w:r>
      <w:r>
        <w:rPr>
          <w:rFonts w:ascii="Verdana" w:hAnsi="Verdana"/>
          <w:b/>
          <w:bCs/>
          <w:sz w:val="22"/>
          <w:szCs w:val="22"/>
        </w:rPr>
        <w:t>12 (doze) meses,</w:t>
      </w:r>
      <w:r>
        <w:rPr>
          <w:rFonts w:ascii="Verdana" w:hAnsi="Verdana"/>
          <w:sz w:val="22"/>
          <w:szCs w:val="22"/>
        </w:rPr>
        <w:t xml:space="preserve"> contados do dia seguinte ao da publicação do seu extrato no Diário Oficial dos Municípios Estado do Espírito Santo, sendo permitida prorrogação conforme limites e condições previstas no art. 107 da Lei nº14.133/21.</w:t>
      </w:r>
    </w:p>
    <w:p>
      <w:pPr>
        <w:pStyle w:val="ITENSDOCONTRATO"/>
        <w:spacing w:lineRule="auto" w:line="276"/>
        <w:ind w:left="0" w:hanging="0"/>
        <w:rPr>
          <w:rFonts w:ascii="Verdana" w:hAnsi="Verdana"/>
          <w:color w:val="333333"/>
          <w:sz w:val="22"/>
          <w:szCs w:val="22"/>
          <w:shd w:fill="FFFFFF" w:val="clear"/>
        </w:rPr>
      </w:pPr>
      <w:r>
        <w:rPr>
          <w:rFonts w:ascii="Verdana" w:hAnsi="Verdana"/>
          <w:color w:val="333333"/>
          <w:sz w:val="22"/>
          <w:szCs w:val="22"/>
          <w:shd w:fill="FFFFFF" w:val="clear"/>
        </w:rPr>
      </w:r>
    </w:p>
    <w:p>
      <w:pPr>
        <w:pStyle w:val="ITENSDOCONTRATO"/>
        <w:spacing w:lineRule="auto" w:line="276"/>
        <w:ind w:left="0" w:hanging="0"/>
        <w:rPr>
          <w:b/>
          <w:b/>
        </w:rPr>
      </w:pPr>
      <w:r>
        <w:rPr>
          <w:rFonts w:ascii="Verdana" w:hAnsi="Verdana"/>
          <w:b/>
          <w:sz w:val="22"/>
          <w:szCs w:val="22"/>
        </w:rPr>
        <w:t>CLÁUSULA QUARTA – MODELOS DE EXECUÇÃO E GESTÃO CONTRATUAIS</w:t>
      </w:r>
    </w:p>
    <w:p>
      <w:pPr>
        <w:pStyle w:val="ITENSDOCONTRATO"/>
        <w:spacing w:lineRule="auto" w:line="276"/>
        <w:ind w:left="0" w:hanging="0"/>
        <w:rPr/>
      </w:pPr>
      <w:r>
        <w:rPr>
          <w:rFonts w:ascii="Verdana" w:hAnsi="Verdana"/>
          <w:sz w:val="22"/>
          <w:szCs w:val="22"/>
        </w:rPr>
        <w:t xml:space="preserve">4.1 - O regime de execução contratual, os modelos de gestão, de execução e de fiscalização, assim como os prazos e condições de conclusão, entrega, observação e recebimento do objeto constam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bookmarkEnd w:id="0"/>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b/>
          <w:b/>
        </w:rPr>
      </w:pPr>
      <w:r>
        <w:rPr>
          <w:rFonts w:ascii="Verdana" w:hAnsi="Verdana"/>
          <w:b/>
          <w:sz w:val="22"/>
          <w:szCs w:val="22"/>
        </w:rPr>
        <w:t>CLÁUSULA QUINTA - PREÇO</w:t>
      </w:r>
    </w:p>
    <w:p>
      <w:pPr>
        <w:pStyle w:val="ITENSDOCONTRATO"/>
        <w:spacing w:lineRule="auto" w:line="276"/>
        <w:ind w:left="0" w:hanging="0"/>
        <w:rPr>
          <w:rFonts w:ascii="Verdana" w:hAnsi="Verdana"/>
          <w:sz w:val="22"/>
          <w:szCs w:val="22"/>
        </w:rPr>
      </w:pPr>
      <w:r>
        <w:rPr>
          <w:rFonts w:ascii="Verdana" w:hAnsi="Verdana"/>
          <w:sz w:val="22"/>
          <w:szCs w:val="22"/>
        </w:rPr>
        <w:t xml:space="preserve">5.1 - O valor total da contratação é de R$ </w:t>
      </w:r>
      <w:r>
        <w:rPr>
          <w:rFonts w:ascii="Verdana" w:hAnsi="Verdana"/>
          <w:color w:val="000000" w:themeColor="text1"/>
          <w:sz w:val="22"/>
          <w:szCs w:val="22"/>
          <w:highlight w:val="yellow"/>
        </w:rPr>
        <w:t>______________ (extenso)</w:t>
      </w:r>
      <w:r>
        <w:rPr>
          <w:rFonts w:ascii="Verdana" w:hAnsi="Verdana"/>
          <w:color w:val="000000" w:themeColor="text1"/>
          <w:sz w:val="22"/>
          <w:szCs w:val="22"/>
        </w:rPr>
        <w:t>, os valores unitários e totais de cada item encontram-se no Anexo I desta minuta de contrato</w:t>
      </w:r>
    </w:p>
    <w:p>
      <w:pPr>
        <w:pStyle w:val="ITENSDOCONTRATO"/>
        <w:spacing w:lineRule="auto" w:line="276"/>
        <w:ind w:left="0" w:hanging="0"/>
        <w:rPr>
          <w:rFonts w:ascii="Verdana" w:hAnsi="Verdana"/>
          <w:sz w:val="22"/>
          <w:szCs w:val="22"/>
        </w:rPr>
      </w:pPr>
      <w:r>
        <w:rPr>
          <w:rFonts w:ascii="Verdana" w:hAnsi="Verdana"/>
          <w:sz w:val="22"/>
          <w:szCs w:val="22"/>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b/>
          <w:b/>
        </w:rPr>
      </w:pPr>
      <w:r>
        <w:rPr>
          <w:rFonts w:ascii="Verdana" w:hAnsi="Verdana"/>
          <w:b/>
          <w:sz w:val="22"/>
          <w:szCs w:val="22"/>
        </w:rPr>
        <w:t>CLÁUSULA SEXTA – PAGAMENTO</w:t>
      </w:r>
    </w:p>
    <w:p>
      <w:pPr>
        <w:pStyle w:val="ITENSDOCONTRATO"/>
        <w:spacing w:lineRule="auto" w:line="276"/>
        <w:ind w:left="0" w:hanging="0"/>
        <w:rPr/>
      </w:pPr>
      <w:r>
        <w:rPr>
          <w:rFonts w:ascii="Verdana" w:hAnsi="Verdana"/>
          <w:sz w:val="22"/>
          <w:szCs w:val="22"/>
        </w:rPr>
        <w:t xml:space="preserve">6.1 - O prazo para pagamento a CONTRATADA e demais condições a ele referentes encontram-se definidos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b/>
          <w:b/>
        </w:rPr>
      </w:pPr>
      <w:r>
        <w:rPr>
          <w:rFonts w:ascii="Verdana" w:hAnsi="Verdana"/>
          <w:b/>
          <w:sz w:val="22"/>
          <w:szCs w:val="22"/>
        </w:rPr>
        <w:t>CLÁUSULA SÉTIMA – REAJUSTE</w:t>
      </w:r>
    </w:p>
    <w:p>
      <w:pPr>
        <w:pStyle w:val="ITENSDOCONTRATO"/>
        <w:spacing w:lineRule="auto" w:line="276"/>
        <w:ind w:left="0" w:hanging="0"/>
        <w:rPr>
          <w:rFonts w:ascii="Verdana" w:hAnsi="Verdana"/>
          <w:sz w:val="22"/>
          <w:szCs w:val="22"/>
        </w:rPr>
      </w:pPr>
      <w:r>
        <w:rPr>
          <w:rFonts w:ascii="Verdana" w:hAnsi="Verdana"/>
          <w:sz w:val="22"/>
          <w:szCs w:val="22"/>
        </w:rPr>
        <w:t>7.1 - Os preços inicialmente contratados são fixos e irreajustáveis no prazo de um ano contado da data da proposta.</w:t>
      </w:r>
    </w:p>
    <w:p>
      <w:pPr>
        <w:pStyle w:val="ITENSDOCONTRATO"/>
        <w:spacing w:lineRule="auto" w:line="276"/>
        <w:ind w:left="0" w:hanging="0"/>
        <w:rPr>
          <w:rFonts w:ascii="Verdana" w:hAnsi="Verdana"/>
          <w:sz w:val="22"/>
          <w:szCs w:val="22"/>
        </w:rPr>
      </w:pPr>
      <w:r>
        <w:rPr>
          <w:rFonts w:ascii="Verdana" w:hAnsi="Verdana"/>
          <w:sz w:val="22"/>
          <w:szCs w:val="22"/>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pPr>
        <w:pStyle w:val="ITENSDOCONTRATO"/>
        <w:spacing w:lineRule="auto" w:line="276"/>
        <w:ind w:left="708" w:hanging="0"/>
        <w:rPr>
          <w:rFonts w:ascii="Verdana" w:hAnsi="Verdana"/>
          <w:sz w:val="22"/>
          <w:szCs w:val="22"/>
        </w:rPr>
      </w:pPr>
      <w:r>
        <w:rPr>
          <w:rFonts w:ascii="Verdana" w:hAnsi="Verdana"/>
          <w:sz w:val="22"/>
          <w:szCs w:val="22"/>
        </w:rPr>
        <w:t>7.2.1 - Nos reajustes subsequentes ao primeiro, o interregno mínimo de um ano será contado a partir dos efeitos financeiros do último reajuste.</w:t>
      </w:r>
    </w:p>
    <w:p>
      <w:pPr>
        <w:pStyle w:val="ITENSDOCONTRATO"/>
        <w:spacing w:lineRule="auto" w:line="276"/>
        <w:ind w:left="0" w:hanging="0"/>
        <w:rPr>
          <w:rFonts w:ascii="Verdana" w:hAnsi="Verdana"/>
          <w:sz w:val="22"/>
          <w:szCs w:val="22"/>
        </w:rPr>
      </w:pPr>
      <w:r>
        <w:rPr>
          <w:rFonts w:ascii="Verdana" w:hAnsi="Verdana"/>
          <w:sz w:val="22"/>
          <w:szCs w:val="22"/>
        </w:rPr>
        <w:t>7.3 - Caso o(s) índice(s) estabelecido(s) para reajustamento venha(m) a ser extinto(s) ou de qualquer forma não possa(m) mais ser utilizado(s), será(ão) adotado(s), em substituição, o(s) que vier(em) a ser determinado(s) pela legislação então em vigor.</w:t>
      </w:r>
    </w:p>
    <w:p>
      <w:pPr>
        <w:pStyle w:val="ITENSDOCONTRATO"/>
        <w:spacing w:lineRule="auto" w:line="276"/>
        <w:ind w:left="0" w:hanging="0"/>
        <w:rPr>
          <w:rFonts w:ascii="Verdana" w:hAnsi="Verdana"/>
          <w:sz w:val="22"/>
          <w:szCs w:val="22"/>
        </w:rPr>
      </w:pPr>
      <w:r>
        <w:rPr>
          <w:rFonts w:ascii="Verdana" w:hAnsi="Verdana"/>
          <w:sz w:val="22"/>
          <w:szCs w:val="22"/>
        </w:rPr>
        <w:t xml:space="preserve">7.4 - Na ausência de previsão legal quanto ao índice substituto, as partes elegerão novo índice oficial, para reajustamento do preço do valor remanescente, por meio de termo aditivo. </w:t>
      </w:r>
    </w:p>
    <w:p>
      <w:pPr>
        <w:pStyle w:val="ITENSDOCONTRATO"/>
        <w:spacing w:lineRule="auto" w:line="276"/>
        <w:ind w:left="0" w:hanging="0"/>
        <w:rPr>
          <w:rFonts w:ascii="Verdana" w:hAnsi="Verdana"/>
          <w:sz w:val="22"/>
          <w:szCs w:val="22"/>
        </w:rPr>
      </w:pPr>
      <w:r>
        <w:rPr>
          <w:rFonts w:ascii="Verdana" w:hAnsi="Verdana"/>
          <w:sz w:val="22"/>
          <w:szCs w:val="22"/>
        </w:rPr>
        <w:t>7.5 - O reajuste será realizado por apostilamento.</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OITAVA – OBRIGAÇÕES DO CONTRATANTE E DA CONTRATADA</w:t>
      </w:r>
    </w:p>
    <w:p>
      <w:pPr>
        <w:pStyle w:val="ITENSDOCONTRATO"/>
        <w:spacing w:lineRule="auto" w:line="276"/>
        <w:ind w:left="0" w:hanging="0"/>
        <w:rPr/>
      </w:pPr>
      <w:r>
        <w:rPr>
          <w:rFonts w:ascii="Verdana" w:hAnsi="Verdana"/>
          <w:sz w:val="22"/>
          <w:szCs w:val="22"/>
        </w:rPr>
        <w:t xml:space="preserve">8.1 - As obrigações do CONTRATANTE e da CONTRATADA constam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 bem como as determinadas na legislação, entretanto, ressalta-se que:</w:t>
      </w:r>
    </w:p>
    <w:p>
      <w:pPr>
        <w:pStyle w:val="Normal"/>
        <w:ind w:left="708" w:hanging="0"/>
        <w:rPr>
          <w:rFonts w:cs="Arial"/>
        </w:rPr>
      </w:pPr>
      <w:r>
        <w:rPr>
          <w:rFonts w:cs="Arial" w:ascii="Verdana" w:hAnsi="Verdana"/>
          <w:sz w:val="22"/>
          <w:szCs w:val="22"/>
        </w:rPr>
        <w:t>8.1.1 – Constitui obrigação da CONTRATADA, manter, durante a execução contratual, todas as condições exigidas para a habilitação na dispensa de licitação, ou para a qualificação na contratação direta;</w:t>
      </w:r>
    </w:p>
    <w:p>
      <w:pPr>
        <w:pStyle w:val="Normal"/>
        <w:ind w:left="708" w:hanging="0"/>
        <w:rPr>
          <w:rFonts w:cs="Arial"/>
        </w:rPr>
      </w:pPr>
      <w:r>
        <w:rPr>
          <w:rFonts w:cs="Arial" w:ascii="Verdana" w:hAnsi="Verdana"/>
          <w:sz w:val="22"/>
          <w:szCs w:val="22"/>
        </w:rPr>
        <w:t>8.1.2 – Constitui ainda, obrigação da CONTRATADA cumprir as exigências de reserva de cargos para pessoas com deficiência, para reabilitado da Previdência Social e para aprendiz em consonância com o art. 92, XVII da Lei 14.133/21.</w:t>
      </w:r>
    </w:p>
    <w:p>
      <w:pPr>
        <w:pStyle w:val="CLUSULA"/>
        <w:spacing w:lineRule="auto" w:line="276"/>
        <w:ind w:left="0" w:hanging="0"/>
        <w:rPr>
          <w:rFonts w:ascii="Verdana" w:hAnsi="Verdana"/>
          <w:sz w:val="22"/>
          <w:szCs w:val="22"/>
        </w:rPr>
      </w:pPr>
      <w:r>
        <w:rPr>
          <w:rFonts w:ascii="Verdana" w:hAnsi="Verdana"/>
          <w:sz w:val="22"/>
          <w:szCs w:val="22"/>
        </w:rPr>
        <w:t>CLÁUSULA NONA – GARANTIA DE EXECUÇÃO</w:t>
      </w:r>
    </w:p>
    <w:p>
      <w:pPr>
        <w:pStyle w:val="ITENSDOCONTRATO"/>
        <w:spacing w:lineRule="auto" w:line="276"/>
        <w:ind w:left="0" w:hanging="0"/>
        <w:rPr>
          <w:color w:val="000000"/>
        </w:rPr>
      </w:pPr>
      <w:r>
        <w:rPr>
          <w:rFonts w:ascii="Verdana" w:hAnsi="Verdana"/>
          <w:color w:val="000000" w:themeColor="text1"/>
          <w:sz w:val="22"/>
          <w:szCs w:val="22"/>
        </w:rPr>
        <w:t>9.1 - Não haverá exigência de garantia contratual da execução.</w:t>
      </w:r>
    </w:p>
    <w:p>
      <w:pPr>
        <w:pStyle w:val="ITENSDOCONTRATO"/>
        <w:spacing w:lineRule="auto" w:line="276"/>
        <w:ind w:left="0" w:hanging="0"/>
        <w:rPr/>
      </w:pPr>
      <w:r>
        <w:rPr>
          <w:rFonts w:ascii="Verdana" w:hAnsi="Verdana"/>
          <w:sz w:val="22"/>
          <w:szCs w:val="22"/>
        </w:rPr>
        <w:t xml:space="preserve">9.2 - A garantia de execução é independente de eventual garantia da prestação de serviço prevista especificamente no Termo de Referência, Anexo II do </w:t>
      </w:r>
      <w:r>
        <w:rPr>
          <w:rStyle w:val="Texttruncateexpanded"/>
          <w:rFonts w:ascii="Verdana" w:hAnsi="Verdana"/>
          <w:sz w:val="22"/>
          <w:szCs w:val="22"/>
          <w:shd w:fill="FFFFFF" w:val="clear"/>
        </w:rPr>
        <w:t>Edital de Dispensa Física de Licitação</w:t>
      </w:r>
      <w:r>
        <w:rPr>
          <w:rFonts w:ascii="Verdana" w:hAnsi="Verdana"/>
          <w:sz w:val="22"/>
          <w:szCs w:val="22"/>
        </w:rPr>
        <w:t>.</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 INFRAÇÕES E SANÇÕES ADMINISTRATIVAS</w:t>
      </w:r>
    </w:p>
    <w:p>
      <w:pPr>
        <w:pStyle w:val="ITENSDOCONTRATO"/>
        <w:spacing w:lineRule="auto" w:line="276"/>
        <w:ind w:left="0" w:hanging="0"/>
        <w:rPr>
          <w:rFonts w:ascii="Verdana" w:hAnsi="Verdana"/>
          <w:sz w:val="22"/>
          <w:szCs w:val="22"/>
        </w:rPr>
      </w:pPr>
      <w:r>
        <w:rPr>
          <w:rFonts w:ascii="Verdana" w:hAnsi="Verdana"/>
          <w:sz w:val="22"/>
          <w:szCs w:val="22"/>
        </w:rPr>
        <w:t xml:space="preserve">10.1 - Comete infração administrativa o fornecedor/prestador de serviço que cometer quaisquer das infrações previstas no art. 155 da Lei nº 14.133, de 2021, quais sejam: </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708" w:hanging="0"/>
        <w:rPr>
          <w:rFonts w:ascii="Verdana" w:hAnsi="Verdana"/>
          <w:sz w:val="22"/>
          <w:szCs w:val="22"/>
        </w:rPr>
      </w:pPr>
      <w:r>
        <w:rPr>
          <w:rFonts w:ascii="Verdana" w:hAnsi="Verdana"/>
          <w:sz w:val="22"/>
          <w:szCs w:val="22"/>
        </w:rPr>
        <w:t>10.1.1 - Dar causa à inexecução parcial do Contrato;</w:t>
      </w:r>
    </w:p>
    <w:p>
      <w:pPr>
        <w:pStyle w:val="ITENSDOCONTRATO"/>
        <w:spacing w:lineRule="auto" w:line="276"/>
        <w:ind w:left="708" w:hanging="0"/>
        <w:rPr>
          <w:rFonts w:ascii="Verdana" w:hAnsi="Verdana"/>
          <w:sz w:val="22"/>
          <w:szCs w:val="22"/>
        </w:rPr>
      </w:pPr>
      <w:r>
        <w:rPr>
          <w:rFonts w:ascii="Verdana" w:hAnsi="Verdana"/>
          <w:sz w:val="22"/>
          <w:szCs w:val="22"/>
        </w:rPr>
        <w:t>10.1.2 - Dar causa à inexecução parcial do Contrato que cause grave dano à Administração, ao funcionamento dos serviços públicos ou ao interesse coletivo;</w:t>
      </w:r>
    </w:p>
    <w:p>
      <w:pPr>
        <w:pStyle w:val="ITENSDOCONTRATO"/>
        <w:spacing w:lineRule="auto" w:line="276"/>
        <w:ind w:left="708" w:hanging="0"/>
        <w:rPr>
          <w:rFonts w:ascii="Verdana" w:hAnsi="Verdana"/>
          <w:sz w:val="22"/>
          <w:szCs w:val="22"/>
        </w:rPr>
      </w:pPr>
      <w:r>
        <w:rPr>
          <w:rFonts w:ascii="Verdana" w:hAnsi="Verdana"/>
          <w:sz w:val="22"/>
          <w:szCs w:val="22"/>
        </w:rPr>
        <w:t>10.1.3 - Dar causa à inexecução total do Contrato;</w:t>
      </w:r>
    </w:p>
    <w:p>
      <w:pPr>
        <w:pStyle w:val="ITENSDOCONTRATO"/>
        <w:spacing w:lineRule="auto" w:line="276"/>
        <w:ind w:left="708" w:hanging="0"/>
        <w:rPr>
          <w:rFonts w:ascii="Verdana" w:hAnsi="Verdana"/>
          <w:sz w:val="22"/>
          <w:szCs w:val="22"/>
        </w:rPr>
      </w:pPr>
      <w:r>
        <w:rPr>
          <w:rFonts w:ascii="Verdana" w:hAnsi="Verdana"/>
          <w:sz w:val="22"/>
          <w:szCs w:val="22"/>
        </w:rPr>
        <w:t>10.1.4 - Deixar de entregar a documentação exigida para o certame;</w:t>
      </w:r>
    </w:p>
    <w:p>
      <w:pPr>
        <w:pStyle w:val="ITENSDOCONTRATO"/>
        <w:spacing w:lineRule="auto" w:line="276"/>
        <w:ind w:left="708" w:hanging="0"/>
        <w:rPr>
          <w:rFonts w:ascii="Verdana" w:hAnsi="Verdana"/>
          <w:sz w:val="22"/>
          <w:szCs w:val="22"/>
        </w:rPr>
      </w:pPr>
      <w:r>
        <w:rPr>
          <w:rFonts w:ascii="Verdana" w:hAnsi="Verdana"/>
          <w:sz w:val="22"/>
          <w:szCs w:val="22"/>
        </w:rPr>
        <w:t>10.1.5 - Não manter a proposta, salvo em decorrência de fato superveniente devidamente justificado;</w:t>
      </w:r>
    </w:p>
    <w:p>
      <w:pPr>
        <w:pStyle w:val="ITENSDOCONTRATO"/>
        <w:spacing w:lineRule="auto" w:line="276"/>
        <w:ind w:left="708" w:hanging="0"/>
        <w:rPr>
          <w:rFonts w:ascii="Verdana" w:hAnsi="Verdana"/>
          <w:sz w:val="22"/>
          <w:szCs w:val="22"/>
        </w:rPr>
      </w:pPr>
      <w:r>
        <w:rPr>
          <w:rFonts w:ascii="Verdana" w:hAnsi="Verdana"/>
          <w:sz w:val="22"/>
          <w:szCs w:val="22"/>
        </w:rPr>
        <w:t>10.1.6 - Não celebrar o Contrato ou não entregar a documentação exigida para a contratação, quando convocado dentro do prazo de validade de sua proposta;</w:t>
      </w:r>
    </w:p>
    <w:p>
      <w:pPr>
        <w:pStyle w:val="ITENSDOCONTRATO"/>
        <w:spacing w:lineRule="auto" w:line="276"/>
        <w:ind w:left="708" w:hanging="0"/>
        <w:rPr>
          <w:rFonts w:ascii="Verdana" w:hAnsi="Verdana"/>
          <w:sz w:val="22"/>
          <w:szCs w:val="22"/>
        </w:rPr>
      </w:pPr>
      <w:r>
        <w:rPr>
          <w:rFonts w:ascii="Verdana" w:hAnsi="Verdana"/>
          <w:sz w:val="22"/>
          <w:szCs w:val="22"/>
        </w:rPr>
        <w:t>10.1.7 - Ensejar o retardamento da execução ou da entrega do objeto da dispensa de licitação sem motivo justificado;</w:t>
      </w:r>
    </w:p>
    <w:p>
      <w:pPr>
        <w:pStyle w:val="ITENSDOCONTRATO"/>
        <w:spacing w:lineRule="auto" w:line="276"/>
        <w:ind w:left="708" w:hanging="0"/>
        <w:rPr>
          <w:rFonts w:ascii="Verdana" w:hAnsi="Verdana"/>
          <w:sz w:val="22"/>
          <w:szCs w:val="22"/>
        </w:rPr>
      </w:pPr>
      <w:r>
        <w:rPr>
          <w:rFonts w:ascii="Verdana" w:hAnsi="Verdana"/>
          <w:sz w:val="22"/>
          <w:szCs w:val="22"/>
        </w:rPr>
        <w:t>10.1.8 -   Apresentar declaração ou documentação falsa exigida para o certame ou prestar declaração falsa durante a dispensa eletrônica ou a execução do Contrato;</w:t>
      </w:r>
    </w:p>
    <w:p>
      <w:pPr>
        <w:pStyle w:val="ITENSDOCONTRATO"/>
        <w:spacing w:lineRule="auto" w:line="276"/>
        <w:ind w:left="708" w:hanging="0"/>
        <w:rPr>
          <w:rFonts w:ascii="Verdana" w:hAnsi="Verdana"/>
          <w:sz w:val="22"/>
          <w:szCs w:val="22"/>
        </w:rPr>
      </w:pPr>
      <w:r>
        <w:rPr>
          <w:rFonts w:ascii="Verdana" w:hAnsi="Verdana"/>
          <w:sz w:val="22"/>
          <w:szCs w:val="22"/>
        </w:rPr>
        <w:t>10.1.9 - Fraudar a dispensa eletrônica ou praticar ato fraudulento na execução do Contrato;</w:t>
      </w:r>
    </w:p>
    <w:p>
      <w:pPr>
        <w:pStyle w:val="ITENSDOCONTRATO"/>
        <w:spacing w:lineRule="auto" w:line="276"/>
        <w:ind w:left="708" w:hanging="0"/>
        <w:rPr>
          <w:rFonts w:ascii="Verdana" w:hAnsi="Verdana"/>
          <w:sz w:val="22"/>
          <w:szCs w:val="22"/>
        </w:rPr>
      </w:pPr>
      <w:r>
        <w:rPr>
          <w:rFonts w:ascii="Verdana" w:hAnsi="Verdana"/>
          <w:sz w:val="22"/>
          <w:szCs w:val="22"/>
        </w:rPr>
        <w:t>10.1.10 - Comportar-se de modo inidôneo ou cometer fraude de qualquer natureza:</w:t>
      </w:r>
    </w:p>
    <w:p>
      <w:pPr>
        <w:pStyle w:val="ITENSDOCONTRATO"/>
        <w:spacing w:lineRule="auto" w:line="276"/>
        <w:ind w:left="1416" w:hanging="0"/>
        <w:rPr>
          <w:rFonts w:ascii="Verdana" w:hAnsi="Verdana"/>
          <w:sz w:val="22"/>
          <w:szCs w:val="22"/>
        </w:rPr>
      </w:pPr>
      <w:r>
        <w:rPr>
          <w:rFonts w:ascii="Verdana" w:hAnsi="Verdana"/>
          <w:sz w:val="22"/>
          <w:szCs w:val="22"/>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ITENSDOCONTRATO"/>
        <w:spacing w:lineRule="auto" w:line="276"/>
        <w:ind w:left="708" w:hanging="0"/>
        <w:rPr>
          <w:rFonts w:ascii="Verdana" w:hAnsi="Verdana"/>
          <w:sz w:val="22"/>
          <w:szCs w:val="22"/>
        </w:rPr>
      </w:pPr>
      <w:r>
        <w:rPr>
          <w:rFonts w:ascii="Verdana" w:hAnsi="Verdana"/>
          <w:sz w:val="22"/>
          <w:szCs w:val="22"/>
        </w:rPr>
        <w:t>10.1.11 - Praticar atos ilícitos com vistas a frustrar os objetivos do certame;</w:t>
      </w:r>
    </w:p>
    <w:p>
      <w:pPr>
        <w:pStyle w:val="ITENSDOCONTRATO"/>
        <w:spacing w:lineRule="auto" w:line="276"/>
        <w:ind w:left="708" w:hanging="0"/>
        <w:rPr>
          <w:rFonts w:ascii="Verdana" w:hAnsi="Verdana"/>
          <w:sz w:val="22"/>
          <w:szCs w:val="22"/>
        </w:rPr>
      </w:pPr>
      <w:r>
        <w:rPr>
          <w:rFonts w:ascii="Verdana" w:hAnsi="Verdana"/>
          <w:sz w:val="22"/>
          <w:szCs w:val="22"/>
        </w:rPr>
        <w:t>10.1.12 - Praticar ato lesivo previsto no art. 5º da Lei nº 12.846, de 1º de agosto de 2013.</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rFonts w:ascii="Verdana" w:hAnsi="Verdana"/>
          <w:sz w:val="22"/>
          <w:szCs w:val="22"/>
        </w:rPr>
      </w:pPr>
      <w:r>
        <w:rPr>
          <w:rFonts w:ascii="Verdana" w:hAnsi="Verdana"/>
          <w:sz w:val="22"/>
          <w:szCs w:val="22"/>
        </w:rPr>
        <w:t>10.2 – Caso a CONTRATADA cometa qualquer das infrações discriminadas nos subitens anteriores ficará sujeita, sem prejuízo da responsabilidade civil e criminal, às seguintes sanções:</w:t>
      </w:r>
    </w:p>
    <w:p>
      <w:pPr>
        <w:pStyle w:val="ITENSDOCONTRATO"/>
        <w:spacing w:lineRule="auto" w:line="276"/>
        <w:ind w:left="708" w:hanging="0"/>
        <w:rPr>
          <w:rFonts w:ascii="Verdana" w:hAnsi="Verdana"/>
          <w:sz w:val="22"/>
          <w:szCs w:val="22"/>
        </w:rPr>
      </w:pPr>
      <w:r>
        <w:rPr>
          <w:rFonts w:ascii="Verdana" w:hAnsi="Verdana"/>
          <w:sz w:val="22"/>
          <w:szCs w:val="22"/>
        </w:rPr>
        <w:t>a)  Advertência pela falta do subitem 10.1.1 deste Contrato, quando não se justificar a imposição de penalidade mais grave;</w:t>
      </w:r>
    </w:p>
    <w:p>
      <w:pPr>
        <w:pStyle w:val="ITENSDOCONTRATO"/>
        <w:spacing w:lineRule="auto" w:line="276"/>
        <w:ind w:left="708" w:hanging="0"/>
        <w:rPr>
          <w:rFonts w:ascii="Verdana" w:hAnsi="Verdana"/>
          <w:sz w:val="22"/>
          <w:szCs w:val="22"/>
        </w:rPr>
      </w:pPr>
      <w:r>
        <w:rPr>
          <w:rFonts w:ascii="Verdana" w:hAnsi="Verdana"/>
          <w:sz w:val="22"/>
          <w:szCs w:val="22"/>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false"/>
          <w:sz w:val="22"/>
          <w:szCs w:val="22"/>
        </w:rPr>
        <w:t>10% (dez por cento),</w:t>
      </w:r>
      <w:r>
        <w:rPr>
          <w:rFonts w:ascii="Verdana" w:hAnsi="Verdana"/>
          <w:sz w:val="22"/>
          <w:szCs w:val="22"/>
        </w:rPr>
        <w:t xml:space="preserve"> na hipótese de cometimento das infrações previstas nos itens 10.1.1 a 10.1.7 e </w:t>
      </w:r>
      <w:r>
        <w:rPr>
          <w:rFonts w:ascii="Verdana" w:hAnsi="Verdana"/>
          <w:b/>
          <w:bCs w:val="false"/>
          <w:sz w:val="22"/>
          <w:szCs w:val="22"/>
        </w:rPr>
        <w:t>20% (vinte por cento)</w:t>
      </w:r>
      <w:r>
        <w:rPr>
          <w:rFonts w:ascii="Verdana" w:hAnsi="Verdana"/>
          <w:sz w:val="22"/>
          <w:szCs w:val="22"/>
        </w:rPr>
        <w:t>, se cometidas infrações previstas nos itens 10.1.8 a 10.1.12;</w:t>
      </w:r>
    </w:p>
    <w:p>
      <w:pPr>
        <w:pStyle w:val="ITENSDOCONTRATO"/>
        <w:spacing w:lineRule="auto" w:line="276"/>
        <w:ind w:left="1416" w:hanging="0"/>
        <w:rPr>
          <w:rFonts w:ascii="Verdana" w:hAnsi="Verdana"/>
          <w:sz w:val="22"/>
          <w:szCs w:val="22"/>
        </w:rPr>
      </w:pPr>
      <w:r>
        <w:rPr>
          <w:rFonts w:ascii="Verdana" w:hAnsi="Verdana"/>
          <w:sz w:val="22"/>
          <w:szCs w:val="22"/>
        </w:rPr>
      </w:r>
    </w:p>
    <w:p>
      <w:pPr>
        <w:pStyle w:val="ITENSDOCONTRATO"/>
        <w:spacing w:lineRule="auto" w:line="276"/>
        <w:ind w:left="1416" w:hanging="0"/>
        <w:rPr>
          <w:rFonts w:ascii="Verdana" w:hAnsi="Verdana"/>
          <w:sz w:val="22"/>
          <w:szCs w:val="22"/>
        </w:rPr>
      </w:pPr>
      <w:r>
        <w:rPr>
          <w:rFonts w:ascii="Verdana" w:hAnsi="Verdana"/>
          <w:sz w:val="22"/>
          <w:szCs w:val="22"/>
        </w:rPr>
        <w:t>b.1) O valor da multa poderá ser descontado das faturas devidas à CONTRATADA;</w:t>
      </w:r>
    </w:p>
    <w:p>
      <w:pPr>
        <w:pStyle w:val="ITENSDOCONTRATO"/>
        <w:spacing w:lineRule="auto" w:line="276"/>
        <w:ind w:left="1416" w:hanging="0"/>
        <w:rPr>
          <w:rFonts w:ascii="Verdana" w:hAnsi="Verdana"/>
          <w:sz w:val="22"/>
          <w:szCs w:val="22"/>
        </w:rPr>
      </w:pPr>
      <w:r>
        <w:rPr>
          <w:rFonts w:ascii="Verdana" w:hAnsi="Verdana"/>
          <w:sz w:val="22"/>
          <w:szCs w:val="22"/>
        </w:rPr>
        <w:t>b.2) A multa pode ser aplicada isoladamente ou juntamente com as penalidades definidas nos itens “c” e “d” abaixo:</w:t>
      </w:r>
    </w:p>
    <w:p>
      <w:pPr>
        <w:pStyle w:val="ITENSDOCONTRATO"/>
        <w:spacing w:lineRule="auto" w:line="276"/>
        <w:ind w:left="1416" w:hanging="0"/>
        <w:rPr>
          <w:rFonts w:ascii="Verdana" w:hAnsi="Verdana"/>
          <w:sz w:val="22"/>
          <w:szCs w:val="22"/>
        </w:rPr>
      </w:pPr>
      <w:r>
        <w:rPr>
          <w:rFonts w:ascii="Verdana" w:hAnsi="Verdana"/>
          <w:sz w:val="22"/>
          <w:szCs w:val="22"/>
        </w:rPr>
      </w:r>
    </w:p>
    <w:p>
      <w:pPr>
        <w:pStyle w:val="ITENSDOCONTRATO"/>
        <w:spacing w:lineRule="auto" w:line="276"/>
        <w:ind w:left="708" w:hanging="0"/>
        <w:rPr>
          <w:rFonts w:ascii="Verdana" w:hAnsi="Verdana"/>
          <w:sz w:val="22"/>
          <w:szCs w:val="22"/>
        </w:rPr>
      </w:pPr>
      <w:r>
        <w:rPr>
          <w:rFonts w:ascii="Verdana" w:hAnsi="Verdana"/>
          <w:sz w:val="22"/>
          <w:szCs w:val="22"/>
        </w:rPr>
        <w:t xml:space="preserve">c) </w:t>
      </w:r>
      <w:r>
        <w:rPr>
          <w:rFonts w:ascii="Verdana" w:hAnsi="Verdana"/>
          <w:b/>
          <w:bCs w:val="false"/>
          <w:sz w:val="22"/>
          <w:szCs w:val="22"/>
        </w:rPr>
        <w:t>Impedimento de licitar e contratar</w:t>
      </w:r>
      <w:r>
        <w:rPr>
          <w:rFonts w:ascii="Verdana" w:hAnsi="Verdana"/>
          <w:sz w:val="22"/>
          <w:szCs w:val="22"/>
        </w:rPr>
        <w:t xml:space="preserve"> no âmbito da Administração Pública direta e indireta do ente federativo que tiver aplicado a sanção, </w:t>
      </w:r>
      <w:r>
        <w:rPr>
          <w:rFonts w:ascii="Verdana" w:hAnsi="Verdana"/>
          <w:b/>
          <w:bCs w:val="false"/>
          <w:sz w:val="22"/>
          <w:szCs w:val="22"/>
        </w:rPr>
        <w:t xml:space="preserve">pelo prazo máximo de 03 (três) anos, </w:t>
      </w:r>
      <w:r>
        <w:rPr>
          <w:rFonts w:ascii="Verdana" w:hAnsi="Verdana"/>
          <w:sz w:val="22"/>
          <w:szCs w:val="22"/>
        </w:rPr>
        <w:t>nos casos dos subitens 10.1.2 a 10.1.7 deste Contrato, quando não se justificar a imposição de penalidade mais grave;</w:t>
      </w:r>
    </w:p>
    <w:p>
      <w:pPr>
        <w:pStyle w:val="ITENSDOCONTRATO"/>
        <w:spacing w:lineRule="auto" w:line="276"/>
        <w:ind w:left="708" w:hanging="0"/>
        <w:rPr>
          <w:rFonts w:ascii="Verdana" w:hAnsi="Verdana"/>
          <w:sz w:val="22"/>
          <w:szCs w:val="22"/>
        </w:rPr>
      </w:pPr>
      <w:r>
        <w:rPr>
          <w:rFonts w:ascii="Verdana" w:hAnsi="Verdana"/>
          <w:sz w:val="22"/>
          <w:szCs w:val="22"/>
        </w:rPr>
        <w:t xml:space="preserve">d) </w:t>
      </w:r>
      <w:r>
        <w:rPr>
          <w:rFonts w:ascii="Verdana" w:hAnsi="Verdana"/>
          <w:b/>
          <w:bCs w:val="false"/>
          <w:sz w:val="22"/>
          <w:szCs w:val="22"/>
        </w:rPr>
        <w:t>Declaração de inidoneidade para licitar ou contratar</w:t>
      </w:r>
      <w:r>
        <w:rPr>
          <w:rFonts w:ascii="Verdana" w:hAnsi="Verdana"/>
          <w:sz w:val="22"/>
          <w:szCs w:val="22"/>
        </w:rPr>
        <w:t xml:space="preserve">, que impedirá o responsável de licitar ou contratar no âmbito da Administração Pública direta e indireta de todos os entes federativos, </w:t>
      </w:r>
      <w:r>
        <w:rPr>
          <w:rFonts w:ascii="Verdana" w:hAnsi="Verdana"/>
          <w:b/>
          <w:bCs w:val="false"/>
          <w:sz w:val="22"/>
          <w:szCs w:val="22"/>
        </w:rPr>
        <w:t>pelo prazo mínimo de 03 (três) anos e máximo de 06 (seis) anos</w:t>
      </w:r>
      <w:r>
        <w:rPr>
          <w:rFonts w:ascii="Verdana" w:hAnsi="Verdana"/>
          <w:sz w:val="22"/>
          <w:szCs w:val="22"/>
        </w:rPr>
        <w:t>, nos casos dos subitens 10.1.2 a 10.1.12, deste Contrato;</w:t>
      </w:r>
    </w:p>
    <w:p>
      <w:pPr>
        <w:pStyle w:val="ITENSDOCONTRATO"/>
        <w:spacing w:lineRule="auto" w:line="276"/>
        <w:ind w:left="708" w:hanging="0"/>
        <w:rPr>
          <w:rFonts w:ascii="Verdana" w:hAnsi="Verdana"/>
          <w:sz w:val="22"/>
          <w:szCs w:val="22"/>
        </w:rPr>
      </w:pPr>
      <w:r>
        <w:rPr>
          <w:rFonts w:ascii="Verdana" w:hAnsi="Verdana"/>
          <w:sz w:val="22"/>
          <w:szCs w:val="22"/>
        </w:rPr>
      </w:r>
    </w:p>
    <w:p>
      <w:pPr>
        <w:pStyle w:val="ITENSDOCONTRATO"/>
        <w:spacing w:lineRule="auto" w:line="276"/>
        <w:ind w:left="0" w:hanging="0"/>
        <w:rPr>
          <w:rFonts w:ascii="Verdana" w:hAnsi="Verdana"/>
          <w:sz w:val="22"/>
          <w:szCs w:val="22"/>
        </w:rPr>
      </w:pPr>
      <w:r>
        <w:rPr>
          <w:rFonts w:ascii="Verdana" w:hAnsi="Verdana"/>
          <w:sz w:val="22"/>
          <w:szCs w:val="22"/>
        </w:rPr>
        <w:t>10.3 - Na aplicação das sanções serão considerados:</w:t>
      </w:r>
    </w:p>
    <w:p>
      <w:pPr>
        <w:pStyle w:val="ITENSDOCONTRATO"/>
        <w:spacing w:lineRule="auto" w:line="276"/>
        <w:ind w:left="0" w:firstLine="708"/>
        <w:rPr>
          <w:rFonts w:ascii="Verdana" w:hAnsi="Verdana"/>
          <w:sz w:val="22"/>
          <w:szCs w:val="22"/>
        </w:rPr>
      </w:pPr>
      <w:r>
        <w:rPr>
          <w:rFonts w:ascii="Verdana" w:hAnsi="Verdana"/>
          <w:sz w:val="22"/>
          <w:szCs w:val="22"/>
        </w:rPr>
        <w:t>10.3.1 - A natureza e a gravidade da infração cometida;</w:t>
      </w:r>
    </w:p>
    <w:p>
      <w:pPr>
        <w:pStyle w:val="ITENSDOCONTRATO"/>
        <w:spacing w:lineRule="auto" w:line="276"/>
        <w:ind w:left="0" w:firstLine="708"/>
        <w:rPr>
          <w:rFonts w:ascii="Verdana" w:hAnsi="Verdana"/>
          <w:sz w:val="22"/>
          <w:szCs w:val="22"/>
        </w:rPr>
      </w:pPr>
      <w:r>
        <w:rPr>
          <w:rFonts w:ascii="Verdana" w:hAnsi="Verdana"/>
          <w:sz w:val="22"/>
          <w:szCs w:val="22"/>
        </w:rPr>
        <w:t>10.3.2 - As peculiaridades do caso concreto;</w:t>
      </w:r>
    </w:p>
    <w:p>
      <w:pPr>
        <w:pStyle w:val="ITENSDOCONTRATO"/>
        <w:spacing w:lineRule="auto" w:line="276"/>
        <w:ind w:left="0" w:firstLine="708"/>
        <w:rPr>
          <w:rFonts w:ascii="Verdana" w:hAnsi="Verdana"/>
          <w:sz w:val="22"/>
          <w:szCs w:val="22"/>
        </w:rPr>
      </w:pPr>
      <w:r>
        <w:rPr>
          <w:rFonts w:ascii="Verdana" w:hAnsi="Verdana"/>
          <w:sz w:val="22"/>
          <w:szCs w:val="22"/>
        </w:rPr>
        <w:t>10.3.3 - As circunstâncias agravantes ou atenuantes;</w:t>
      </w:r>
    </w:p>
    <w:p>
      <w:pPr>
        <w:pStyle w:val="ITENSDOCONTRATO"/>
        <w:spacing w:lineRule="auto" w:line="276"/>
        <w:ind w:left="0" w:firstLine="708"/>
        <w:rPr>
          <w:rFonts w:ascii="Verdana" w:hAnsi="Verdana"/>
          <w:sz w:val="22"/>
          <w:szCs w:val="22"/>
        </w:rPr>
      </w:pPr>
      <w:r>
        <w:rPr>
          <w:rFonts w:ascii="Verdana" w:hAnsi="Verdana"/>
          <w:sz w:val="22"/>
          <w:szCs w:val="22"/>
        </w:rPr>
        <w:t>10.3.4 - Os danos que dela provierem para a Administração Pública;</w:t>
      </w:r>
    </w:p>
    <w:p>
      <w:pPr>
        <w:pStyle w:val="ITENSDOCONTRATO"/>
        <w:spacing w:lineRule="auto" w:line="276"/>
        <w:ind w:left="708" w:hanging="0"/>
        <w:rPr>
          <w:rFonts w:ascii="Verdana" w:hAnsi="Verdana"/>
          <w:sz w:val="22"/>
          <w:szCs w:val="22"/>
        </w:rPr>
      </w:pPr>
      <w:r>
        <w:rPr>
          <w:rFonts w:ascii="Verdana" w:hAnsi="Verdana"/>
          <w:sz w:val="22"/>
          <w:szCs w:val="22"/>
        </w:rPr>
        <w:t>10.3.5.- A implantação ou o aperfeiçoamento de programa de integridade, conforme normas e orientações dos órgãos de controle.</w:t>
      </w:r>
    </w:p>
    <w:p>
      <w:pPr>
        <w:pStyle w:val="ITENSDOCONTRATO"/>
        <w:spacing w:lineRule="auto" w:line="276"/>
        <w:ind w:left="0" w:hanging="0"/>
        <w:rPr>
          <w:rFonts w:ascii="Verdana" w:hAnsi="Verdana"/>
          <w:sz w:val="22"/>
          <w:szCs w:val="22"/>
        </w:rPr>
      </w:pPr>
      <w:r>
        <w:rPr>
          <w:rFonts w:ascii="Verdana" w:hAnsi="Verdana"/>
          <w:sz w:val="22"/>
          <w:szCs w:val="22"/>
        </w:rPr>
      </w:r>
    </w:p>
    <w:p>
      <w:pPr>
        <w:pStyle w:val="ITENSDOCONTRATO"/>
        <w:spacing w:lineRule="auto" w:line="276"/>
        <w:ind w:left="0" w:hanging="0"/>
        <w:rPr>
          <w:rFonts w:ascii="Verdana" w:hAnsi="Verdana"/>
          <w:sz w:val="22"/>
          <w:szCs w:val="22"/>
        </w:rPr>
      </w:pPr>
      <w:r>
        <w:rPr>
          <w:rFonts w:ascii="Verdana" w:hAnsi="Verdana"/>
          <w:sz w:val="22"/>
          <w:szCs w:val="22"/>
        </w:rPr>
        <w:t>10.4 - Se a multa aplicada e as indenizações cabíveis forem superiores ao valor de pagamento eventualmente devido pelo CONTRATANTE à CONTRATADA, além da perda desse valor, a diferença será descontada da garantia prestada ou será cobrada judicialmente;</w:t>
      </w:r>
    </w:p>
    <w:p>
      <w:pPr>
        <w:pStyle w:val="ITENSDOCONTRATO"/>
        <w:spacing w:lineRule="auto" w:line="276"/>
        <w:ind w:left="0" w:hanging="0"/>
        <w:rPr>
          <w:rFonts w:ascii="Verdana" w:hAnsi="Verdana"/>
          <w:sz w:val="22"/>
          <w:szCs w:val="22"/>
        </w:rPr>
      </w:pPr>
      <w:r>
        <w:rPr>
          <w:rFonts w:ascii="Verdana" w:hAnsi="Verdana"/>
          <w:sz w:val="22"/>
          <w:szCs w:val="22"/>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PRIMEIRA – DA EXTINÇÃO CONTRATUAL</w:t>
      </w:r>
    </w:p>
    <w:p>
      <w:pPr>
        <w:pStyle w:val="ITENSDOCONTRATO"/>
        <w:spacing w:lineRule="auto" w:line="276"/>
        <w:ind w:left="0" w:hanging="0"/>
        <w:rPr>
          <w:rFonts w:ascii="Verdana" w:hAnsi="Verdana"/>
          <w:sz w:val="22"/>
          <w:szCs w:val="22"/>
        </w:rPr>
      </w:pPr>
      <w:r>
        <w:rPr>
          <w:rFonts w:ascii="Verdana" w:hAnsi="Verdana"/>
          <w:sz w:val="22"/>
          <w:szCs w:val="22"/>
        </w:rPr>
        <w:t>11.1 - O Contrato se extingue quando cumpridas as obrigações de ambas as partes, ainda que isso ocorra antes do prazo estipulado para tanto e independente de termo de rescisão.</w:t>
      </w:r>
    </w:p>
    <w:p>
      <w:pPr>
        <w:pStyle w:val="ITENSDOCONTRATO"/>
        <w:spacing w:lineRule="auto" w:line="276"/>
        <w:ind w:left="0" w:hanging="0"/>
        <w:rPr>
          <w:rFonts w:ascii="Verdana" w:hAnsi="Verdana"/>
          <w:sz w:val="22"/>
          <w:szCs w:val="22"/>
        </w:rPr>
      </w:pPr>
      <w:r>
        <w:rPr>
          <w:rFonts w:ascii="Verdana" w:hAnsi="Verdana"/>
          <w:sz w:val="22"/>
          <w:szCs w:val="22"/>
        </w:rPr>
        <w:t>11.2 - Aplicar-se-ão os arts. 137, 138 e 139 da Lei nº 14.133, de 2021, nas situações de extinção contratual.</w:t>
      </w:r>
    </w:p>
    <w:p>
      <w:pPr>
        <w:pStyle w:val="CLUSULA"/>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SEGUNDA – DOTAÇÃO ORÇAMENTÁRIA</w:t>
      </w:r>
    </w:p>
    <w:p>
      <w:pPr>
        <w:pStyle w:val="Normal"/>
        <w:jc w:val="both"/>
        <w:rPr>
          <w:rFonts w:ascii="Verdana" w:hAnsi="Verdana"/>
          <w:sz w:val="22"/>
          <w:szCs w:val="22"/>
        </w:rPr>
      </w:pPr>
      <w:r>
        <w:rPr>
          <w:rFonts w:ascii="Verdana" w:hAnsi="Verdana"/>
          <w:sz w:val="22"/>
          <w:szCs w:val="22"/>
        </w:rPr>
        <w:t xml:space="preserve">12.1 - </w:t>
      </w:r>
      <w:r>
        <w:rPr>
          <w:rFonts w:cs="Verdana" w:ascii="Verdana" w:hAnsi="Verdana"/>
          <w:sz w:val="22"/>
          <w:szCs w:val="22"/>
        </w:rPr>
        <w:t>As despesas decorrentes da presente contratação correrão à conta de recursos específicos consignados no Lei Orçamentária Anual, bem como requisição do sistema presente nos autos, sendo a contratação será atendida pela seguinte dotação:</w:t>
      </w:r>
    </w:p>
    <w:p>
      <w:pPr>
        <w:pStyle w:val="CLUSULA"/>
        <w:spacing w:lineRule="auto" w:line="276"/>
        <w:ind w:left="0" w:hanging="0"/>
        <w:rPr>
          <w:rFonts w:ascii="Verdana" w:hAnsi="Verdana"/>
          <w:sz w:val="22"/>
          <w:szCs w:val="22"/>
        </w:rPr>
      </w:pPr>
      <w:r>
        <w:rPr>
          <w:rFonts w:ascii="Verdana" w:hAnsi="Verdana"/>
          <w:b w:val="false"/>
          <w:bCs w:val="false"/>
          <w:sz w:val="22"/>
          <w:szCs w:val="22"/>
        </w:rPr>
        <w:t>FICHA – FONTE: 0065</w:t>
      </w:r>
      <w:r>
        <w:rPr>
          <w:rFonts w:ascii="Verdana" w:hAnsi="Verdana"/>
          <w:b w:val="false"/>
          <w:bCs w:val="false"/>
          <w:sz w:val="22"/>
          <w:szCs w:val="22"/>
        </w:rPr>
        <w:t>4</w:t>
      </w:r>
      <w:r>
        <w:rPr>
          <w:rFonts w:ascii="Verdana" w:hAnsi="Verdana"/>
          <w:b w:val="false"/>
          <w:bCs w:val="false"/>
          <w:sz w:val="22"/>
          <w:szCs w:val="22"/>
        </w:rPr>
        <w:t xml:space="preserve"> – 180200000000</w:t>
      </w:r>
      <w:r>
        <w:rPr>
          <w:rFonts w:ascii="Verdana" w:hAnsi="Verdana"/>
          <w:b w:val="false"/>
          <w:bCs w:val="false"/>
          <w:color w:val="000000"/>
          <w:sz w:val="22"/>
          <w:szCs w:val="22"/>
        </w:rPr>
        <w:t>.</w:t>
      </w:r>
    </w:p>
    <w:p>
      <w:pPr>
        <w:pStyle w:val="CLUSULA"/>
        <w:spacing w:lineRule="auto" w:line="276"/>
        <w:ind w:left="0" w:hanging="0"/>
        <w:rPr>
          <w:rFonts w:ascii="Verdana" w:hAnsi="Verdana"/>
          <w:color w:val="000000"/>
          <w:sz w:val="22"/>
          <w:szCs w:val="22"/>
          <w:u w:val="single"/>
        </w:rPr>
      </w:pPr>
      <w:r>
        <w:rPr>
          <w:rFonts w:ascii="Verdana" w:hAnsi="Verdana"/>
          <w:color w:val="000000"/>
          <w:sz w:val="22"/>
          <w:szCs w:val="22"/>
          <w:u w:val="single"/>
        </w:rPr>
      </w:r>
    </w:p>
    <w:p>
      <w:pPr>
        <w:pStyle w:val="CLUSULA"/>
        <w:spacing w:lineRule="auto" w:line="276"/>
        <w:ind w:left="0" w:hanging="0"/>
        <w:rPr>
          <w:rFonts w:ascii="Verdana" w:hAnsi="Verdana"/>
          <w:sz w:val="22"/>
          <w:szCs w:val="22"/>
        </w:rPr>
      </w:pPr>
      <w:r>
        <w:rPr>
          <w:rFonts w:ascii="Verdana" w:hAnsi="Verdana"/>
          <w:sz w:val="22"/>
          <w:szCs w:val="22"/>
        </w:rPr>
        <w:t>CLÁUSULA DÉCIMA TERCEIRA – ALTERAÇÕES</w:t>
      </w:r>
    </w:p>
    <w:p>
      <w:pPr>
        <w:pStyle w:val="ITENSDOCONTRATO"/>
        <w:spacing w:lineRule="auto" w:line="276"/>
        <w:ind w:left="0" w:hanging="0"/>
        <w:rPr>
          <w:rFonts w:ascii="Verdana" w:hAnsi="Verdana"/>
          <w:sz w:val="22"/>
          <w:szCs w:val="22"/>
        </w:rPr>
      </w:pPr>
      <w:r>
        <w:rPr>
          <w:rFonts w:ascii="Verdana" w:hAnsi="Verdana"/>
          <w:sz w:val="22"/>
          <w:szCs w:val="22"/>
        </w:rPr>
        <w:t>13.1 - Eventuais alterações contratuais reger-se-ão pela disciplina dos arts. 124 e seguintes da Lei nº 14.133, de 2021.</w:t>
      </w:r>
    </w:p>
    <w:p>
      <w:pPr>
        <w:pStyle w:val="ITENSDOCONTRATO"/>
        <w:spacing w:lineRule="auto" w:line="276"/>
        <w:ind w:left="0" w:hanging="0"/>
        <w:rPr>
          <w:rFonts w:ascii="Verdana" w:hAnsi="Verdana"/>
          <w:sz w:val="22"/>
          <w:szCs w:val="22"/>
        </w:rPr>
      </w:pPr>
      <w:r>
        <w:rPr>
          <w:rFonts w:ascii="Verdana" w:hAnsi="Verdana"/>
          <w:sz w:val="22"/>
          <w:szCs w:val="22"/>
        </w:rPr>
        <w:t>13.2 - Registros que não caracterizam alteração do Contrato podem ser realizados por simples apostila, dispensada a celebração de termo aditivo, na forma do art. 136 da Lei nº 14.133/21.</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QUARTA – PUBLICAÇÃO</w:t>
      </w:r>
    </w:p>
    <w:p>
      <w:pPr>
        <w:pStyle w:val="ITENSDOCONTRATO"/>
        <w:spacing w:lineRule="auto" w:line="276"/>
        <w:ind w:left="0" w:hanging="0"/>
        <w:rPr>
          <w:rFonts w:ascii="Verdana" w:hAnsi="Verdana"/>
          <w:sz w:val="22"/>
          <w:szCs w:val="22"/>
        </w:rPr>
      </w:pPr>
      <w:r>
        <w:rPr>
          <w:rFonts w:ascii="Verdana" w:hAnsi="Verdana"/>
          <w:sz w:val="22"/>
          <w:szCs w:val="22"/>
        </w:rPr>
        <w:t xml:space="preserve">14.1 - O referido Contrato será publicado, em resumo, no DOM, </w:t>
      </w:r>
      <w:r>
        <w:rPr>
          <w:rFonts w:ascii="Verdana" w:hAnsi="Verdana"/>
          <w:color w:val="000000" w:themeColor="text1"/>
          <w:sz w:val="22"/>
          <w:szCs w:val="22"/>
        </w:rPr>
        <w:t>bem como no Portal Nacional de Contratações Públicas (PNCP), na forma prevista no art. 94 da Lei 14.133/21.</w:t>
      </w:r>
    </w:p>
    <w:p>
      <w:pPr>
        <w:pStyle w:val="ITENSDOCONTRATO"/>
        <w:spacing w:lineRule="auto" w:line="276"/>
        <w:ind w:left="0" w:hanging="0"/>
        <w:rPr>
          <w:rFonts w:ascii="Verdana" w:hAnsi="Verdana"/>
          <w:sz w:val="22"/>
          <w:szCs w:val="22"/>
        </w:rPr>
      </w:pPr>
      <w:r>
        <w:rPr>
          <w:rFonts w:ascii="Verdana" w:hAnsi="Verdana"/>
          <w:sz w:val="22"/>
          <w:szCs w:val="22"/>
        </w:rPr>
      </w:r>
    </w:p>
    <w:p>
      <w:pPr>
        <w:pStyle w:val="CLUSULA"/>
        <w:spacing w:lineRule="auto" w:line="276"/>
        <w:ind w:left="0" w:hanging="0"/>
        <w:rPr>
          <w:rFonts w:ascii="Verdana" w:hAnsi="Verdana"/>
          <w:sz w:val="22"/>
          <w:szCs w:val="22"/>
        </w:rPr>
      </w:pPr>
      <w:r>
        <w:rPr>
          <w:rFonts w:ascii="Verdana" w:hAnsi="Verdana"/>
          <w:sz w:val="22"/>
          <w:szCs w:val="22"/>
        </w:rPr>
        <w:t>CLÁUSULA DÉCIMA QUINTA – FORO</w:t>
      </w:r>
    </w:p>
    <w:p>
      <w:pPr>
        <w:pStyle w:val="Normal"/>
        <w:jc w:val="both"/>
        <w:rPr>
          <w:rFonts w:ascii="Verdana" w:hAnsi="Verdana"/>
          <w:sz w:val="22"/>
          <w:szCs w:val="22"/>
        </w:rPr>
      </w:pPr>
      <w:r>
        <w:rPr>
          <w:rFonts w:ascii="Verdana" w:hAnsi="Verdana"/>
          <w:sz w:val="22"/>
          <w:szCs w:val="22"/>
        </w:rPr>
        <w:t xml:space="preserve">15.1 - </w:t>
      </w:r>
      <w:r>
        <w:rPr>
          <w:rFonts w:cs="Verdana" w:ascii="Verdana" w:hAnsi="Verdana"/>
          <w:sz w:val="22"/>
          <w:szCs w:val="22"/>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jc w:val="both"/>
        <w:rPr>
          <w:rFonts w:cs="Verdana"/>
        </w:rPr>
      </w:pPr>
      <w:r>
        <w:rPr>
          <w:rFonts w:cs="Verdana" w:ascii="Verdana" w:hAnsi="Verdana"/>
          <w:sz w:val="22"/>
          <w:szCs w:val="22"/>
        </w:rPr>
        <w:t>E, por estarem justos, combinados, assinam o presente instrumento, após lido e achado conforme, na presença das testemunhas abaixo assinadas.</w:t>
      </w:r>
    </w:p>
    <w:p>
      <w:pPr>
        <w:pStyle w:val="Normal"/>
        <w:rPr>
          <w:rFonts w:ascii="Verdana" w:hAnsi="Verdana" w:cs="Verdana"/>
          <w:sz w:val="22"/>
          <w:szCs w:val="22"/>
        </w:rPr>
      </w:pPr>
      <w:r>
        <w:rPr>
          <w:rFonts w:cs="Verdana" w:ascii="Verdana" w:hAnsi="Verdana"/>
          <w:sz w:val="22"/>
          <w:szCs w:val="22"/>
        </w:rPr>
      </w:r>
    </w:p>
    <w:p>
      <w:pPr>
        <w:pStyle w:val="Normal"/>
        <w:jc w:val="right"/>
        <w:rPr>
          <w:rFonts w:ascii="Verdana" w:hAnsi="Verdana"/>
          <w:sz w:val="22"/>
          <w:szCs w:val="22"/>
        </w:rPr>
      </w:pPr>
      <w:r>
        <w:rPr>
          <w:rFonts w:cs="Verdana" w:ascii="Verdana" w:hAnsi="Verdana"/>
          <w:sz w:val="22"/>
          <w:szCs w:val="22"/>
        </w:rPr>
        <w:t>São Gabriel da Palha, em .............. de</w:t>
      </w:r>
      <w:r>
        <w:rPr>
          <w:rFonts w:cs="Verdana" w:ascii="Verdana" w:hAnsi="Verdana"/>
          <w:sz w:val="22"/>
          <w:szCs w:val="22"/>
        </w:rPr>
        <w:t xml:space="preserve"> novembro de </w:t>
      </w:r>
      <w:r>
        <w:rPr>
          <w:rFonts w:cs="Verdana" w:ascii="Verdana" w:hAnsi="Verdana"/>
          <w:sz w:val="22"/>
          <w:szCs w:val="22"/>
        </w:rPr>
        <w:t>2024.</w:t>
      </w:r>
    </w:p>
    <w:p>
      <w:pPr>
        <w:pStyle w:val="Normal"/>
        <w:jc w:val="right"/>
        <w:rPr>
          <w:rFonts w:ascii="Verdana" w:hAnsi="Verdana" w:cs="Verdana"/>
          <w:sz w:val="22"/>
          <w:szCs w:val="22"/>
        </w:rPr>
      </w:pPr>
      <w:r>
        <w:rPr>
          <w:rFonts w:cs="Verdana" w:ascii="Verdana" w:hAnsi="Verdana"/>
          <w:sz w:val="22"/>
          <w:szCs w:val="22"/>
        </w:rPr>
      </w:r>
    </w:p>
    <w:p>
      <w:pPr>
        <w:pStyle w:val="Normal"/>
        <w:jc w:val="right"/>
        <w:rPr>
          <w:rFonts w:ascii="Verdana" w:hAnsi="Verdana" w:cs="Verdana"/>
          <w:sz w:val="22"/>
          <w:szCs w:val="22"/>
        </w:rPr>
      </w:pPr>
      <w:r>
        <w:rPr>
          <w:rFonts w:cs="Verdana" w:ascii="Verdana" w:hAnsi="Verdana"/>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spacing w:lineRule="auto" w:line="240" w:before="0" w:after="0"/>
        <w:jc w:val="center"/>
        <w:rPr>
          <w:rFonts w:cs="Verdana"/>
          <w:b/>
          <w:b/>
        </w:rPr>
      </w:pPr>
      <w:r>
        <w:rPr>
          <w:rFonts w:cs="Verdana" w:ascii="Verdana" w:hAnsi="Verdana"/>
          <w:b/>
          <w:sz w:val="22"/>
          <w:szCs w:val="22"/>
        </w:rPr>
        <w:t>Diretora-Presidente</w:t>
      </w:r>
    </w:p>
    <w:p>
      <w:pPr>
        <w:pStyle w:val="Normal"/>
        <w:spacing w:lineRule="auto" w:line="240" w:before="0" w:after="0"/>
        <w:jc w:val="center"/>
        <w:rPr>
          <w:rFonts w:cs="Verdana"/>
          <w:b/>
          <w:b/>
        </w:rPr>
      </w:pPr>
      <w:r>
        <w:rPr>
          <w:rFonts w:cs="Verdana" w:ascii="Verdana" w:hAnsi="Verdana"/>
          <w:b/>
          <w:sz w:val="22"/>
          <w:szCs w:val="22"/>
        </w:rPr>
        <w:t>CONTRATANTE</w:t>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ascii="Verdana" w:hAnsi="Verdana" w:cs="Verdana"/>
          <w:b/>
          <w:b/>
          <w:sz w:val="22"/>
          <w:szCs w:val="22"/>
        </w:rPr>
      </w:pPr>
      <w:r>
        <w:rPr>
          <w:rFonts w:cs="Verdana" w:ascii="Verdana" w:hAnsi="Verdana"/>
          <w:b/>
          <w:sz w:val="22"/>
          <w:szCs w:val="22"/>
        </w:rPr>
      </w:r>
    </w:p>
    <w:p>
      <w:pPr>
        <w:pStyle w:val="Normal"/>
        <w:jc w:val="center"/>
        <w:rPr>
          <w:rFonts w:cs="Verdana"/>
          <w:b/>
          <w:b/>
        </w:rPr>
      </w:pPr>
      <w:r>
        <w:rPr>
          <w:rFonts w:cs="Verdana" w:ascii="Verdana" w:hAnsi="Verdana"/>
          <w:b/>
          <w:sz w:val="22"/>
          <w:szCs w:val="22"/>
        </w:rPr>
        <w:t>CONTRATADO</w:t>
      </w:r>
    </w:p>
    <w:p>
      <w:pPr>
        <w:pStyle w:val="Normal"/>
        <w:jc w:val="center"/>
        <w:rPr>
          <w:rFonts w:ascii="Verdana" w:hAnsi="Verdana" w:cs="Verdana"/>
          <w:b/>
          <w:b/>
          <w:sz w:val="22"/>
          <w:szCs w:val="22"/>
        </w:rPr>
      </w:pPr>
      <w:r>
        <w:rPr>
          <w:rFonts w:cs="Verdana" w:ascii="Verdana" w:hAnsi="Verdana"/>
          <w:b/>
          <w:sz w:val="22"/>
          <w:szCs w:val="22"/>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before="0" w:after="200"/>
              <w:rPr>
                <w:rFonts w:cs="Verdana"/>
              </w:rPr>
            </w:pPr>
            <w:r>
              <w:rPr>
                <w:rFonts w:cs="Verdana" w:ascii="Verdana" w:hAnsi="Verdana"/>
                <w:sz w:val="22"/>
                <w:szCs w:val="22"/>
              </w:rPr>
              <w:t>Testemunhas:</w:t>
            </w:r>
          </w:p>
        </w:tc>
        <w:tc>
          <w:tcPr>
            <w:tcW w:w="721"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4392" w:type="dxa"/>
            <w:tcBorders/>
          </w:tcPr>
          <w:p>
            <w:pPr>
              <w:pStyle w:val="Normal"/>
              <w:widowControl w:val="false"/>
              <w:spacing w:before="0" w:after="200"/>
              <w:rPr>
                <w:rFonts w:cs="Verdana"/>
              </w:rPr>
            </w:pPr>
            <w:r>
              <w:rPr>
                <w:rFonts w:cs="Verdana" w:ascii="Verdana" w:hAnsi="Verdana"/>
                <w:sz w:val="22"/>
                <w:szCs w:val="22"/>
              </w:rPr>
              <w:t>CPF:</w:t>
            </w:r>
          </w:p>
        </w:tc>
      </w:tr>
      <w:tr>
        <w:trPr/>
        <w:tc>
          <w:tcPr>
            <w:tcW w:w="3959" w:type="dxa"/>
            <w:tcBorders/>
          </w:tcPr>
          <w:p>
            <w:pPr>
              <w:pStyle w:val="Normal"/>
              <w:widowControl w:val="false"/>
              <w:snapToGrid w:val="false"/>
              <w:rPr>
                <w:rFonts w:ascii="Verdana" w:hAnsi="Verdana" w:cs="Verdana"/>
                <w:sz w:val="22"/>
                <w:szCs w:val="22"/>
              </w:rPr>
            </w:pPr>
            <w:r>
              <w:rPr>
                <w:rFonts w:cs="Verdana" w:ascii="Verdana" w:hAnsi="Verdana"/>
                <w:sz w:val="22"/>
                <w:szCs w:val="22"/>
              </w:rPr>
            </w:r>
          </w:p>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721"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4392"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r>
      <w:tr>
        <w:trPr/>
        <w:tc>
          <w:tcPr>
            <w:tcW w:w="3959" w:type="dxa"/>
            <w:tcBorders>
              <w:top w:val="single" w:sz="4" w:space="0" w:color="000000"/>
              <w:bottom w:val="single" w:sz="4" w:space="0" w:color="000000"/>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721" w:type="dxa"/>
            <w:tcBorders/>
          </w:tcPr>
          <w:p>
            <w:pPr>
              <w:pStyle w:val="Normal"/>
              <w:widowControl w:val="false"/>
              <w:snapToGrid w:val="false"/>
              <w:spacing w:before="0" w:after="200"/>
              <w:rPr>
                <w:rFonts w:ascii="Verdana" w:hAnsi="Verdana" w:cs="Verdana"/>
                <w:sz w:val="22"/>
                <w:szCs w:val="22"/>
              </w:rPr>
            </w:pPr>
            <w:r>
              <w:rPr>
                <w:rFonts w:cs="Verdana" w:ascii="Verdana" w:hAnsi="Verdana"/>
                <w:sz w:val="22"/>
                <w:szCs w:val="22"/>
              </w:rPr>
            </w:r>
          </w:p>
        </w:tc>
        <w:tc>
          <w:tcPr>
            <w:tcW w:w="4392" w:type="dxa"/>
            <w:tcBorders>
              <w:top w:val="single" w:sz="4" w:space="0" w:color="000000"/>
              <w:bottom w:val="single" w:sz="4" w:space="0" w:color="000000"/>
            </w:tcBorders>
          </w:tcPr>
          <w:p>
            <w:pPr>
              <w:pStyle w:val="Normal"/>
              <w:widowControl w:val="false"/>
              <w:snapToGrid w:val="false"/>
              <w:rPr>
                <w:rFonts w:ascii="Verdana" w:hAnsi="Verdana" w:cs="Verdana"/>
                <w:sz w:val="22"/>
                <w:szCs w:val="22"/>
              </w:rPr>
            </w:pPr>
            <w:r>
              <w:rPr>
                <w:rFonts w:cs="Verdana" w:ascii="Verdana" w:hAnsi="Verdana"/>
                <w:sz w:val="22"/>
                <w:szCs w:val="22"/>
              </w:rPr>
            </w:r>
          </w:p>
          <w:p>
            <w:pPr>
              <w:pStyle w:val="Normal"/>
              <w:widowControl w:val="false"/>
              <w:spacing w:before="0" w:after="200"/>
              <w:rPr>
                <w:rFonts w:ascii="Verdana" w:hAnsi="Verdana" w:cs="Verdana"/>
                <w:sz w:val="22"/>
                <w:szCs w:val="22"/>
              </w:rPr>
            </w:pPr>
            <w:r>
              <w:rPr>
                <w:rFonts w:cs="Verdana" w:ascii="Verdana" w:hAnsi="Verdana"/>
                <w:sz w:val="22"/>
                <w:szCs w:val="22"/>
              </w:rPr>
            </w:r>
          </w:p>
        </w:tc>
      </w:tr>
    </w:tbl>
    <w:p>
      <w:pPr>
        <w:pStyle w:val="ITENSDOCONTRATO"/>
        <w:spacing w:lineRule="auto" w:line="276"/>
        <w:ind w:left="0" w:hanging="0"/>
        <w:rPr>
          <w:rFonts w:ascii="Verdana" w:hAnsi="Verdana"/>
          <w:b/>
          <w:b/>
          <w:bCs w:val="false"/>
          <w:sz w:val="22"/>
          <w:szCs w:val="22"/>
        </w:rPr>
      </w:pPr>
      <w:r>
        <w:rPr>
          <w:rFonts w:ascii="Verdana" w:hAnsi="Verdana"/>
          <w:b/>
          <w:bCs w:val="false"/>
          <w:sz w:val="22"/>
          <w:szCs w:val="22"/>
        </w:rPr>
      </w:r>
    </w:p>
    <w:p>
      <w:pPr>
        <w:pStyle w:val="ITENSDOCONTRATO"/>
        <w:spacing w:lineRule="auto" w:line="276"/>
        <w:ind w:left="0" w:hanging="0"/>
        <w:jc w:val="center"/>
        <w:rPr>
          <w:b/>
          <w:b/>
          <w:bCs w:val="false"/>
        </w:rPr>
      </w:pPr>
      <w:r>
        <w:rPr>
          <w:rFonts w:ascii="Verdana" w:hAnsi="Verdana"/>
          <w:b/>
          <w:bCs w:val="false"/>
          <w:sz w:val="22"/>
          <w:szCs w:val="22"/>
        </w:rPr>
        <w:t>ANEXO I</w:t>
      </w:r>
    </w:p>
    <w:p>
      <w:pPr>
        <w:pStyle w:val="ITENSDOCONTRATO"/>
        <w:spacing w:lineRule="auto" w:line="276"/>
        <w:ind w:left="0" w:hanging="0"/>
        <w:jc w:val="center"/>
        <w:rPr>
          <w:rFonts w:ascii="Verdana" w:hAnsi="Verdana"/>
          <w:sz w:val="20"/>
          <w:szCs w:val="20"/>
        </w:rPr>
      </w:pPr>
      <w:r>
        <w:rPr>
          <w:rFonts w:ascii="Verdana" w:hAnsi="Verdana"/>
          <w:sz w:val="22"/>
          <w:szCs w:val="22"/>
        </w:rPr>
        <w:t xml:space="preserve"> </w:t>
      </w:r>
    </w:p>
    <w:tbl>
      <w:tblPr>
        <w:tblW w:w="9930" w:type="dxa"/>
        <w:jc w:val="left"/>
        <w:tblInd w:w="-157" w:type="dxa"/>
        <w:tblLayout w:type="fixed"/>
        <w:tblCellMar>
          <w:top w:w="55" w:type="dxa"/>
          <w:left w:w="55" w:type="dxa"/>
          <w:bottom w:w="55" w:type="dxa"/>
          <w:right w:w="55" w:type="dxa"/>
        </w:tblCellMar>
        <w:tblLook w:firstRow="1" w:noVBand="1" w:lastRow="0" w:firstColumn="1" w:lastColumn="0" w:noHBand="0" w:val="04a0"/>
      </w:tblPr>
      <w:tblGrid>
        <w:gridCol w:w="690"/>
        <w:gridCol w:w="4589"/>
        <w:gridCol w:w="1260"/>
        <w:gridCol w:w="1066"/>
        <w:gridCol w:w="1244"/>
        <w:gridCol w:w="1080"/>
      </w:tblGrid>
      <w:tr>
        <w:trPr/>
        <w:tc>
          <w:tcPr>
            <w:tcW w:w="690"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Item</w:t>
            </w:r>
          </w:p>
        </w:tc>
        <w:tc>
          <w:tcPr>
            <w:tcW w:w="4589"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Descrição</w:t>
            </w:r>
          </w:p>
        </w:tc>
        <w:tc>
          <w:tcPr>
            <w:tcW w:w="1260"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Unidade de Medida</w:t>
            </w:r>
          </w:p>
        </w:tc>
        <w:tc>
          <w:tcPr>
            <w:tcW w:w="1066"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Quant.</w:t>
            </w:r>
          </w:p>
        </w:tc>
        <w:tc>
          <w:tcPr>
            <w:tcW w:w="1244" w:type="dxa"/>
            <w:tcBorders>
              <w:top w:val="single" w:sz="2" w:space="0" w:color="000000"/>
              <w:left w:val="single" w:sz="2" w:space="0" w:color="000000"/>
              <w:bottom w:val="single" w:sz="2" w:space="0" w:color="000000"/>
            </w:tcBorders>
          </w:tcPr>
          <w:p>
            <w:pPr>
              <w:pStyle w:val="Contedodatabela"/>
              <w:widowControl w:val="false"/>
              <w:spacing w:lineRule="auto" w:line="276"/>
              <w:jc w:val="center"/>
              <w:rPr>
                <w:b/>
                <w:b/>
                <w:bCs/>
              </w:rPr>
            </w:pPr>
            <w:r>
              <w:rPr>
                <w:rFonts w:ascii="Verdana" w:hAnsi="Verdana"/>
                <w:b/>
                <w:bCs/>
                <w:sz w:val="20"/>
                <w:szCs w:val="20"/>
              </w:rPr>
              <w:t>R$</w:t>
            </w:r>
          </w:p>
          <w:p>
            <w:pPr>
              <w:pStyle w:val="Contedodatabela"/>
              <w:widowControl w:val="false"/>
              <w:spacing w:lineRule="auto" w:line="276"/>
              <w:jc w:val="center"/>
              <w:rPr>
                <w:b/>
                <w:b/>
                <w:bCs/>
              </w:rPr>
            </w:pPr>
            <w:r>
              <w:rPr>
                <w:rFonts w:ascii="Verdana" w:hAnsi="Verdana"/>
                <w:b/>
                <w:bCs/>
                <w:sz w:val="20"/>
                <w:szCs w:val="20"/>
              </w:rPr>
              <w:t>Unitário</w:t>
            </w:r>
          </w:p>
        </w:tc>
        <w:tc>
          <w:tcPr>
            <w:tcW w:w="1080"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76"/>
              <w:jc w:val="center"/>
              <w:rPr>
                <w:b/>
                <w:b/>
                <w:bCs/>
              </w:rPr>
            </w:pPr>
            <w:r>
              <w:rPr>
                <w:rFonts w:ascii="Verdana" w:hAnsi="Verdana"/>
                <w:b/>
                <w:bCs/>
                <w:sz w:val="20"/>
                <w:szCs w:val="20"/>
              </w:rPr>
              <w:t>R$</w:t>
            </w:r>
          </w:p>
          <w:p>
            <w:pPr>
              <w:pStyle w:val="Contedodatabela"/>
              <w:widowControl w:val="false"/>
              <w:spacing w:lineRule="auto" w:line="276"/>
              <w:jc w:val="center"/>
              <w:rPr>
                <w:b/>
                <w:b/>
                <w:bCs/>
              </w:rPr>
            </w:pPr>
            <w:r>
              <w:rPr>
                <w:rFonts w:ascii="Verdana" w:hAnsi="Verdana"/>
                <w:b/>
                <w:bCs/>
                <w:sz w:val="20"/>
                <w:szCs w:val="20"/>
              </w:rPr>
              <w:t>Total</w:t>
            </w:r>
          </w:p>
        </w:tc>
      </w:tr>
      <w:tr>
        <w:trPr>
          <w:trHeight w:val="2284" w:hRule="atLeast"/>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01</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REALIZAÇÃO DAS REAVALIAÇÕES ATUARIAIS ANUAIS</w:t>
            </w:r>
          </w:p>
          <w:p>
            <w:pPr>
              <w:pStyle w:val="PargrafodaLista"/>
              <w:widowControl w:val="false"/>
              <w:snapToGrid w:val="false"/>
              <w:spacing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Realização das reavaliações atuariais anuais exigidas pela Secretaria de Previdência Social -SPREV do Ministério da Economia, para fins de emissão do Certificado de Regularidade Previdenciária - CRP e atendimento à IN 68/2020 do TCE-ES; observando rigorosamente a legislação aplicada tanto pelos órgãos de supervisão e controle quanto pela legislação municipal.</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rHeight w:val="3765" w:hRule="atLeast"/>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02</w:t>
            </w:r>
          </w:p>
        </w:tc>
        <w:tc>
          <w:tcPr>
            <w:tcW w:w="4589" w:type="dxa"/>
            <w:tcBorders>
              <w:left w:val="single" w:sz="2" w:space="0" w:color="000000"/>
              <w:bottom w:val="single" w:sz="2" w:space="0" w:color="000000"/>
            </w:tcBorders>
          </w:tcPr>
          <w:p>
            <w:pPr>
              <w:pStyle w:val="Normal"/>
              <w:widowControl w:val="false"/>
              <w:spacing w:lineRule="auto" w:line="240" w:before="0" w:after="0"/>
              <w:jc w:val="left"/>
              <w:rPr>
                <w:b w:val="false"/>
                <w:b w:val="false"/>
                <w:bCs w:val="false"/>
              </w:rPr>
            </w:pPr>
            <w:r>
              <w:rPr>
                <w:rFonts w:ascii="Verdana" w:hAnsi="Verdana"/>
                <w:b w:val="false"/>
                <w:bCs w:val="false"/>
                <w:sz w:val="20"/>
                <w:szCs w:val="20"/>
              </w:rPr>
              <w:t>REALIZAÇÃO DO ESTUDO DE SUSTENTABILIDADE - SUSTEN</w:t>
            </w:r>
          </w:p>
          <w:p>
            <w:pPr>
              <w:pStyle w:val="Normal"/>
              <w:widowControl w:val="false"/>
              <w:spacing w:lineRule="auto" w:line="240" w:before="0" w:after="0"/>
              <w:jc w:val="left"/>
              <w:rPr>
                <w:rFonts w:ascii="Verdana" w:hAnsi="Verdana"/>
                <w:color w:val="000000"/>
                <w:sz w:val="20"/>
                <w:szCs w:val="20"/>
              </w:rPr>
            </w:pPr>
            <w:r>
              <w:rPr>
                <w:rFonts w:ascii="Verdana" w:hAnsi="Verdana"/>
                <w:color w:val="000000"/>
                <w:sz w:val="20"/>
                <w:szCs w:val="20"/>
              </w:rPr>
            </w:r>
          </w:p>
          <w:p>
            <w:pPr>
              <w:pStyle w:val="Normal"/>
              <w:widowControl w:val="false"/>
              <w:spacing w:lineRule="auto" w:line="240" w:before="0" w:after="135"/>
              <w:jc w:val="both"/>
              <w:rPr>
                <w:rFonts w:eastAsia="Times New Roman" w:cs="Arial"/>
                <w:b w:val="false"/>
                <w:b w:val="false"/>
                <w:bCs w:val="false"/>
                <w:i w:val="false"/>
                <w:i w:val="false"/>
                <w:iCs w:val="false"/>
                <w:color w:val="000000"/>
                <w:lang w:eastAsia="pt-BR"/>
              </w:rPr>
            </w:pPr>
            <w:r>
              <w:rPr>
                <w:rFonts w:eastAsia="Times New Roman" w:cs="Arial" w:ascii="Verdana" w:hAnsi="Verdana"/>
                <w:b w:val="false"/>
                <w:bCs w:val="false"/>
                <w:i w:val="false"/>
                <w:iCs w:val="false"/>
                <w:color w:val="000000"/>
                <w:sz w:val="20"/>
                <w:szCs w:val="20"/>
                <w:lang w:eastAsia="pt-BR"/>
              </w:rPr>
              <w:t>Realização do Estudo de Sustentabilidade conforme IN 68/2020 do TCE-ES, e todas suas alterações, inclusive com a coleta de dados contábeis sob a responsabilidade do contratado, evidenciando que o plano de amortização do déficit atuarial adotado pelo ente e vigente, possui viabilidade orçamentária e financeira, e que respeita os limites de gastos com pessoal dos órgãos e poderes, previstos nos artigos 19 e 20 da LC 101/2000 Lei de Responsabilidade Fiscal, por todo seu período de vigência.</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03</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ELABORAÇÃO DA NOTA TÉCNICA ATUARIAL</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04</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ascii="Verdana" w:hAnsi="Verdana"/>
                <w:sz w:val="20"/>
                <w:szCs w:val="20"/>
              </w:rPr>
            </w:pPr>
            <w:r>
              <w:rPr>
                <w:rFonts w:ascii="Verdana" w:hAnsi="Verdana"/>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ASSESSORIA TÉCNICA ATUARIAL</w:t>
            </w:r>
          </w:p>
          <w:p>
            <w:pPr>
              <w:pStyle w:val="PargrafodaLista"/>
              <w:widowControl w:val="false"/>
              <w:snapToGrid w:val="false"/>
              <w:spacing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Prestar Assessoria na área Técnica Atuarial mensal, dirimindo e esclarecendo dúvidas pertinentes mediante requerimentos específicos do contratante, incluindo participação em reuniões técnicas específicas, especialmente nos conselhos de Administração e Fiscal do SGP-PREV;</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12</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05</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REALIZAÇÃO DO ESTUDO DO FLUXO FINANCEIRO ATUARIAL</w:t>
            </w:r>
          </w:p>
          <w:p>
            <w:pPr>
              <w:pStyle w:val="PargrafodaLista"/>
              <w:widowControl w:val="false"/>
              <w:snapToGrid w:val="false"/>
              <w:spacing w:before="0" w:after="200"/>
              <w:ind w:left="0" w:right="0" w:hanging="0"/>
              <w:contextualSpacing/>
              <w:jc w:val="both"/>
              <w:rPr>
                <w:rFonts w:ascii="Verdana" w:hAnsi="Verdana" w:cs="Arial"/>
                <w:b w:val="false"/>
                <w:b w:val="false"/>
                <w:bCs w:val="false"/>
                <w:i w:val="false"/>
                <w:i w:val="false"/>
                <w:iCs w:val="false"/>
                <w:color w:val="000000"/>
                <w:sz w:val="20"/>
                <w:szCs w:val="20"/>
              </w:rPr>
            </w:pPr>
            <w:r>
              <w:rPr>
                <w:rFonts w:cs="Arial" w:ascii="Verdana" w:hAnsi="Verdana"/>
                <w:b w:val="false"/>
                <w:bCs w:val="false"/>
                <w:i w:val="false"/>
                <w:iCs w:val="false"/>
                <w:color w:val="000000"/>
                <w:sz w:val="20"/>
                <w:szCs w:val="20"/>
              </w:rPr>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Realização de estudos do fluxo financeiro atuarial envolvendo o passivo e ativo do RPPS, sempre que solicitado, em situações pontuais e específicas, tais como, estudos para modificação de políticas de remunerações dos servidores.</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06</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PREENCHIMENTO DO DEMONSTRATIVO DE RESULTADOS DA AVALIAÇÃO ATUARIAL - DRAA</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690" w:type="dxa"/>
            <w:tcBorders>
              <w:left w:val="single" w:sz="2" w:space="0" w:color="000000"/>
              <w:bottom w:val="single" w:sz="2" w:space="0" w:color="000000"/>
            </w:tcBorders>
          </w:tcPr>
          <w:p>
            <w:pPr>
              <w:pStyle w:val="Normal"/>
              <w:widowControl w:val="false"/>
              <w:spacing w:lineRule="auto" w:line="240" w:before="240" w:after="60"/>
              <w:jc w:val="center"/>
              <w:rPr>
                <w:rFonts w:ascii="Verdana" w:hAnsi="Verdana" w:eastAsia="Times New Roman" w:cs="Times New Roman"/>
                <w:sz w:val="20"/>
                <w:szCs w:val="20"/>
              </w:rPr>
            </w:pPr>
            <w:r>
              <w:rPr>
                <w:rFonts w:eastAsia="Times New Roman" w:cs="Times New Roman" w:ascii="Verdana" w:hAnsi="Verdana"/>
                <w:sz w:val="20"/>
                <w:szCs w:val="20"/>
              </w:rPr>
            </w:r>
          </w:p>
          <w:p>
            <w:pPr>
              <w:pStyle w:val="Normal"/>
              <w:widowControl w:val="false"/>
              <w:spacing w:lineRule="auto" w:line="240" w:before="240" w:after="60"/>
              <w:jc w:val="center"/>
              <w:rPr>
                <w:rFonts w:eastAsia="Times New Roman" w:cs="Times New Roman"/>
              </w:rPr>
            </w:pPr>
            <w:r>
              <w:rPr>
                <w:rFonts w:eastAsia="Times New Roman" w:cs="Times New Roman" w:ascii="Verdana" w:hAnsi="Verdana"/>
                <w:sz w:val="20"/>
                <w:szCs w:val="20"/>
              </w:rPr>
              <w:t>07</w:t>
            </w:r>
          </w:p>
        </w:tc>
        <w:tc>
          <w:tcPr>
            <w:tcW w:w="4589" w:type="dxa"/>
            <w:tcBorders>
              <w:left w:val="single" w:sz="2" w:space="0" w:color="000000"/>
              <w:bottom w:val="single" w:sz="2" w:space="0" w:color="000000"/>
            </w:tcBorders>
          </w:tcPr>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PALESTRA PRESENCIAL</w:t>
            </w:r>
          </w:p>
          <w:p>
            <w:pPr>
              <w:pStyle w:val="PargrafodaLista"/>
              <w:widowControl w:val="false"/>
              <w:snapToGrid w:val="false"/>
              <w:spacing w:before="0" w:after="200"/>
              <w:ind w:left="0" w:right="0" w:hanging="0"/>
              <w:contextualSpacing/>
              <w:jc w:val="both"/>
              <w:rPr>
                <w:rFonts w:cs="Arial"/>
                <w:b w:val="false"/>
                <w:b w:val="false"/>
                <w:bCs w:val="false"/>
                <w:i w:val="false"/>
                <w:i w:val="false"/>
                <w:iCs w:val="false"/>
                <w:color w:val="000000"/>
              </w:rPr>
            </w:pPr>
            <w:r>
              <w:rPr>
                <w:rFonts w:cs="Arial" w:ascii="Verdana" w:hAnsi="Verdana"/>
                <w:b w:val="false"/>
                <w:bCs w:val="false"/>
                <w:i w:val="false"/>
                <w:iCs w:val="false"/>
                <w:color w:val="000000"/>
                <w:sz w:val="20"/>
                <w:szCs w:val="20"/>
              </w:rPr>
              <w:t>Para apresentação do cálculo atuarial, a ser realizada em data prevista na segunda quinzena do mês de abril de 2025, às expensas do contratado, voltada aos membros do RPPS, representantes do Poder Executivo e Legislativo.</w:t>
            </w:r>
          </w:p>
        </w:tc>
        <w:tc>
          <w:tcPr>
            <w:tcW w:w="1260" w:type="dxa"/>
            <w:tcBorders>
              <w:left w:val="single" w:sz="2" w:space="0" w:color="000000"/>
              <w:bottom w:val="single" w:sz="2" w:space="0" w:color="000000"/>
            </w:tcBorders>
            <w:vAlign w:val="center"/>
          </w:tcPr>
          <w:p>
            <w:pPr>
              <w:pStyle w:val="Normal"/>
              <w:widowControl w:val="false"/>
              <w:spacing w:before="240" w:after="60"/>
              <w:jc w:val="center"/>
              <w:rPr>
                <w:rFonts w:ascii="Verdana" w:hAnsi="Verdana"/>
                <w:sz w:val="20"/>
                <w:szCs w:val="20"/>
              </w:rPr>
            </w:pPr>
            <w:r>
              <w:rPr>
                <w:rFonts w:ascii="Verdana" w:hAnsi="Verdana"/>
                <w:sz w:val="20"/>
                <w:szCs w:val="20"/>
              </w:rPr>
            </w:r>
          </w:p>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SERV</w:t>
            </w:r>
          </w:p>
        </w:tc>
        <w:tc>
          <w:tcPr>
            <w:tcW w:w="1066" w:type="dxa"/>
            <w:tcBorders>
              <w:left w:val="single" w:sz="2" w:space="0" w:color="000000"/>
              <w:bottom w:val="single" w:sz="2" w:space="0" w:color="000000"/>
            </w:tcBorders>
            <w:vAlign w:val="center"/>
          </w:tcPr>
          <w:p>
            <w:pPr>
              <w:pStyle w:val="Normal"/>
              <w:widowControl w:val="false"/>
              <w:spacing w:before="240" w:after="60"/>
              <w:jc w:val="center"/>
              <w:rPr>
                <w:rFonts w:ascii="Verdana" w:hAnsi="Verdana"/>
                <w:sz w:val="20"/>
                <w:szCs w:val="20"/>
              </w:rPr>
            </w:pPr>
            <w:r>
              <w:rPr>
                <w:rFonts w:ascii="Verdana" w:hAnsi="Verdana"/>
                <w:sz w:val="20"/>
                <w:szCs w:val="20"/>
              </w:rPr>
            </w:r>
          </w:p>
          <w:p>
            <w:pPr>
              <w:pStyle w:val="Normal"/>
              <w:widowControl w:val="false"/>
              <w:spacing w:before="240" w:after="60"/>
              <w:jc w:val="center"/>
              <w:rPr>
                <w:rFonts w:eastAsia="Times New Roman" w:cs="Times New Roman"/>
                <w:lang w:val="pt-BR"/>
              </w:rPr>
            </w:pPr>
            <w:r>
              <w:rPr>
                <w:rFonts w:eastAsia="Times New Roman" w:cs="Times New Roman" w:ascii="Verdana" w:hAnsi="Verdana"/>
                <w:sz w:val="20"/>
                <w:szCs w:val="20"/>
                <w:lang w:val="pt-BR"/>
              </w:rPr>
              <w:t>01</w:t>
            </w:r>
          </w:p>
        </w:tc>
        <w:tc>
          <w:tcPr>
            <w:tcW w:w="1244" w:type="dxa"/>
            <w:tcBorders>
              <w:left w:val="single" w:sz="2" w:space="0" w:color="000000"/>
              <w:bottom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c>
          <w:tcPr>
            <w:tcW w:w="1080" w:type="dxa"/>
            <w:tcBorders>
              <w:left w:val="single" w:sz="2" w:space="0" w:color="000000"/>
              <w:bottom w:val="single" w:sz="2" w:space="0" w:color="000000"/>
              <w:right w:val="single" w:sz="2" w:space="0" w:color="000000"/>
            </w:tcBorders>
            <w:vAlign w:val="center"/>
          </w:tcPr>
          <w:p>
            <w:pPr>
              <w:pStyle w:val="Contedodatabela"/>
              <w:widowControl w:val="false"/>
              <w:spacing w:lineRule="auto" w:line="276"/>
              <w:jc w:val="center"/>
              <w:rPr>
                <w:rFonts w:ascii="Verdana" w:hAnsi="Verdana"/>
                <w:sz w:val="20"/>
                <w:szCs w:val="20"/>
              </w:rPr>
            </w:pPr>
            <w:r>
              <w:rPr>
                <w:rFonts w:ascii="Verdana" w:hAnsi="Verdana"/>
                <w:sz w:val="20"/>
                <w:szCs w:val="20"/>
              </w:rPr>
            </w:r>
          </w:p>
        </w:tc>
      </w:tr>
      <w:tr>
        <w:trPr/>
        <w:tc>
          <w:tcPr>
            <w:tcW w:w="9929" w:type="dxa"/>
            <w:gridSpan w:val="6"/>
            <w:tcBorders>
              <w:left w:val="single" w:sz="2" w:space="0" w:color="000000"/>
              <w:bottom w:val="single" w:sz="2" w:space="0" w:color="000000"/>
              <w:right w:val="single" w:sz="2" w:space="0" w:color="000000"/>
            </w:tcBorders>
          </w:tcPr>
          <w:p>
            <w:pPr>
              <w:pStyle w:val="Contedodatabela"/>
              <w:widowControl w:val="false"/>
              <w:spacing w:lineRule="auto" w:line="276"/>
              <w:jc w:val="center"/>
              <w:rPr>
                <w:rFonts w:ascii="Verdana" w:hAnsi="Verdana"/>
              </w:rPr>
            </w:pPr>
            <w:r>
              <w:rPr>
                <w:rFonts w:ascii="Verdana" w:hAnsi="Verdana"/>
                <w:b/>
                <w:bCs/>
                <w:sz w:val="20"/>
                <w:szCs w:val="20"/>
              </w:rPr>
              <w:t>Valor total: R$…………...(por extenso)</w:t>
            </w:r>
          </w:p>
        </w:tc>
      </w:tr>
    </w:tbl>
    <w:p>
      <w:pPr>
        <w:pStyle w:val="ITENSDOCONTRATO"/>
        <w:spacing w:lineRule="auto" w:line="276"/>
        <w:ind w:left="0" w:hanging="0"/>
        <w:jc w:val="center"/>
        <w:rPr>
          <w:rFonts w:ascii="Verdana" w:hAnsi="Verdana" w:cs="Arial"/>
          <w:b/>
          <w:b/>
          <w:sz w:val="20"/>
          <w:szCs w:val="20"/>
          <w:u w:val="single"/>
        </w:rPr>
      </w:pPr>
      <w:r>
        <w:rPr>
          <w:rFonts w:cs="Arial" w:ascii="Verdana" w:hAnsi="Verdana"/>
          <w:b/>
          <w:sz w:val="20"/>
          <w:szCs w:val="20"/>
          <w:u w:val="single"/>
        </w:rPr>
      </w:r>
    </w:p>
    <w:sectPr>
      <w:headerReference w:type="even" r:id="rId2"/>
      <w:headerReference w:type="default" r:id="rId3"/>
      <w:headerReference w:type="first" r:id="rId4"/>
      <w:footerReference w:type="default" r:id="rId5"/>
      <w:type w:val="nextPage"/>
      <w:pgSz w:w="11906" w:h="16838"/>
      <w:pgMar w:left="1275" w:right="1274" w:gutter="0" w:header="850" w:top="1843" w:footer="409" w:bottom="1276"/>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Arial MT">
    <w:charset w:val="00"/>
    <w:family w:val="roman"/>
    <w:pitch w:val="variable"/>
  </w:font>
  <w:font w:name="Arial">
    <w:charset w:val="00"/>
    <w:family w:val="roman"/>
    <w:pitch w:val="variable"/>
  </w:font>
  <w:font w:name="Verdana">
    <w:charset w:val="00"/>
    <w:family w:val="roman"/>
    <w:pitch w:val="variable"/>
  </w:font>
  <w:font w:name="Symbol">
    <w:charset w:val="00"/>
    <w:family w:val="roman"/>
    <w:pitch w:val="variable"/>
  </w:font>
  <w:font w:name="Liberation Sans">
    <w:altName w:val="Arial"/>
    <w:charset w:val="00"/>
    <w:family w:val="roman"/>
    <w:pitch w:val="variable"/>
  </w:font>
  <w:font w:name="Segoe UI">
    <w:charset w:val="00"/>
    <w:family w:val="roman"/>
    <w:pitch w:val="variable"/>
  </w:font>
  <w:font w:name="Ecofont_Spranq_eco_Sans">
    <w:charset w:val="00"/>
    <w:family w:val="roman"/>
    <w:pitch w:val="variable"/>
  </w:font>
  <w:font w:name="Verdana">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Arial" w:hAnsi="Arial" w:cs="Arial"/>
        <w:b/>
        <w:b/>
        <w:sz w:val="16"/>
        <w:szCs w:val="16"/>
      </w:rPr>
    </w:pPr>
    <w:r>
      <w:rPr/>
      <w:tab/>
    </w:r>
    <w:bookmarkStart w:id="1" w:name="_Hlk158124314"/>
    <w:r>
      <w:rPr>
        <w:sz w:val="22"/>
        <w:szCs w:val="22"/>
      </w:rPr>
      <w:t>Av. Bértolo Malacarne, 168 – Sala 02 – A, B e C – Glória – São Gabriel da Palha – CEP 29.780-000</w:t>
    </w:r>
    <w:bookmarkEnd w:id="1"/>
  </w:p>
  <w:p>
    <w:pPr>
      <w:pStyle w:val="Cabealho"/>
      <w:jc w:val="center"/>
      <w:rPr>
        <w:rFonts w:ascii="Arial" w:hAnsi="Arial" w:cs="Arial"/>
        <w:b/>
        <w:b/>
        <w:sz w:val="16"/>
        <w:szCs w:val="16"/>
      </w:rPr>
    </w:pPr>
    <w:r>
      <w:rPr>
        <w:rStyle w:val="Nmerodepgina"/>
        <w:rFonts w:cs="Tahoma"/>
        <w:b/>
        <w:sz w:val="22"/>
        <w:szCs w:val="22"/>
      </w:rPr>
      <w:t xml:space="preserve"> </w:t>
    </w:r>
    <w:r>
      <w:rPr>
        <w:rStyle w:val="Nmerodepgina"/>
        <w:rFonts w:cs="Tahoma"/>
        <w:b/>
        <w:sz w:val="22"/>
        <w:szCs w:val="22"/>
      </w:rPr>
      <w:t xml:space="preserve">Telefone: (27) 3727-1697 - CNPJ 05.251.479/0001-52 E-mail:  </w:t>
    </w:r>
    <w:hyperlink r:id="rId1">
      <w:r>
        <w:rPr>
          <w:rStyle w:val="LinkdaInternet"/>
          <w:rFonts w:cs="Tahoma"/>
          <w:b/>
          <w:sz w:val="22"/>
          <w:szCs w:val="22"/>
        </w:rPr>
        <w:t>saogabrielprev@gmail.com</w:t>
      </w:r>
    </w:hyperlink>
    <w:r>
      <w:rPr>
        <w:rStyle w:val="Nmerodepgina"/>
        <w:rFonts w:cs="Tahoma"/>
        <w:b/>
        <w:sz w:val="22"/>
        <w:szCs w:val="22"/>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498475" distB="498475" distL="1236980" distR="1237615" simplePos="0" locked="0" layoutInCell="0" allowOverlap="1" relativeHeight="2" wp14:anchorId="57C454B1">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a:graphic xmlns:a="http://schemas.openxmlformats.org/drawingml/2006/main">
                <a:graphicData uri="http://schemas.openxmlformats.org/drawingml/2006/picture">
                  <pic:pic xmlns:pic="http://schemas.openxmlformats.org/drawingml/2006/picture">
                    <pic:nvPicPr>
                      <pic:cNvPr id="0" name="PowerPlusWaterMarkObject1236528047" descr=""/>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0pt;margin-top:0pt;width:271.55pt;height:391.5pt;mso-wrap-style:none;v-text-anchor:middle;rotation:315;mso-position-horizontal:center;mso-position-horizontal-relative:margin;mso-position-vertical:center;mso-position-vertical-relative:margin" wp14:anchorId="57C454B1" type="_x0000_t75">
              <v:imagedata r:id="rId2" o:detectmouseclick="t"/>
              <v:stroke color="#3465a4" joinstyle="round" endcap="flat"/>
              <w10:wrap type="none"/>
            </v:shape>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sz w:val="22"/>
        <w:szCs w:val="22"/>
      </w:rPr>
    </w:pPr>
    <w:r>
      <w:rPr/>
      <w:drawing>
        <wp:inline distT="0" distB="0" distL="0" distR="0">
          <wp:extent cx="828675" cy="552450"/>
          <wp:effectExtent l="0" t="0" r="0" b="0"/>
          <wp:docPr id="2"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Copia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Verdana" w:hAnsi="Verdana"/>
        <w:b/>
        <w:bCs/>
        <w:sz w:val="22"/>
        <w:szCs w:val="22"/>
        <w:lang w:val="pt-BR"/>
      </w:rPr>
      <w:t>Estado do Espírito Santo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sz w:val="22"/>
        <w:szCs w:val="22"/>
      </w:rPr>
    </w:pPr>
    <w:r>
      <w:rPr/>
      <w:drawing>
        <wp:inline distT="0" distB="0" distL="0" distR="0">
          <wp:extent cx="828675" cy="552450"/>
          <wp:effectExtent l="0" t="0" r="0" b="0"/>
          <wp:docPr id="3"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Copia 1 Copia 1" descr=""/>
                  <pic:cNvPicPr>
                    <a:picLocks noChangeAspect="1" noChangeArrowheads="1"/>
                  </pic:cNvPicPr>
                </pic:nvPicPr>
                <pic:blipFill>
                  <a:blip r:embed="rId1"/>
                  <a:srcRect l="-13" t="-14" r="-13" b="-14"/>
                  <a:stretch>
                    <a:fillRect/>
                  </a:stretch>
                </pic:blipFill>
                <pic:spPr bwMode="auto">
                  <a:xfrm>
                    <a:off x="0" y="0"/>
                    <a:ext cx="828675" cy="552450"/>
                  </a:xfrm>
                  <a:prstGeom prst="rect">
                    <a:avLst/>
                  </a:prstGeom>
                </pic:spPr>
              </pic:pic>
            </a:graphicData>
          </a:graphic>
        </wp:inline>
      </w:drawing>
    </w:r>
  </w:p>
  <w:p>
    <w:pPr>
      <w:pStyle w:val="Cabealho"/>
      <w:jc w:val="center"/>
      <w:rPr>
        <w:rFonts w:ascii="Calibri" w:hAnsi="Calibri"/>
        <w:b/>
        <w:b/>
      </w:rPr>
    </w:pPr>
    <w:r>
      <w:rPr>
        <w:b/>
        <w:sz w:val="22"/>
        <w:szCs w:val="22"/>
      </w:rPr>
      <w:t>INSTITUTO DE PREVIDÊNCIA DOS SERVIDORES PÚBLICOS</w:t>
    </w:r>
  </w:p>
  <w:p>
    <w:pPr>
      <w:pStyle w:val="Cabealho"/>
      <w:jc w:val="center"/>
      <w:rPr>
        <w:rFonts w:ascii="Calibri" w:hAnsi="Calibri"/>
        <w:b/>
        <w:b/>
      </w:rPr>
    </w:pPr>
    <w:r>
      <w:rPr>
        <w:b/>
        <w:sz w:val="22"/>
        <w:szCs w:val="22"/>
      </w:rPr>
      <w:t>DO MUNICÍPIO DE SÃO GABRIEL DA PALHA</w:t>
    </w:r>
  </w:p>
  <w:p>
    <w:pPr>
      <w:pStyle w:val="Cabealho"/>
      <w:jc w:val="center"/>
      <w:rPr>
        <w:rFonts w:ascii="Calibri" w:hAnsi="Calibri" w:eastAsia="sans-serif" w:cs="Verdana"/>
        <w:b/>
        <w:b/>
        <w:bCs/>
        <w:lang w:val="pt-BR"/>
      </w:rPr>
    </w:pPr>
    <w:r>
      <w:rPr>
        <w:rFonts w:eastAsia="sans-serif" w:cs="Verdana" w:ascii="Verdana" w:hAnsi="Verdana"/>
        <w:b/>
        <w:bCs/>
        <w:sz w:val="22"/>
        <w:szCs w:val="22"/>
        <w:lang w:val="pt-BR"/>
      </w:rPr>
      <w:t>Estado do Espírito Santo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4334"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1068" w:hanging="360"/>
      </w:pPr>
      <w:rPr>
        <w:sz w:val="24"/>
        <w:b/>
        <w:szCs w:val="24"/>
        <w:rFonts w:ascii="Arial" w:hAnsi="Arial" w:cs="Arial"/>
      </w:rPr>
    </w:lvl>
    <w:lvl w:ilvl="1">
      <w:start w:val="1"/>
      <w:numFmt w:val="decimal"/>
      <w:lvlText w:val="%1.%2."/>
      <w:lvlJc w:val="left"/>
      <w:pPr>
        <w:tabs>
          <w:tab w:val="num" w:pos="0"/>
        </w:tabs>
        <w:ind w:left="432" w:hanging="432"/>
      </w:pPr>
      <w:rPr>
        <w:dstrike w:val="false"/>
        <w:strike w:val="false"/>
        <w:b w:val="false"/>
        <w:color w:val="auto"/>
      </w:rPr>
    </w:lvl>
    <w:lvl w:ilvl="2">
      <w:start w:val="1"/>
      <w:numFmt w:val="decimal"/>
      <w:lvlText w:val="%1.%2.%3."/>
      <w:lvlJc w:val="left"/>
      <w:pPr>
        <w:tabs>
          <w:tab w:val="num" w:pos="0"/>
        </w:tabs>
        <w:ind w:left="2914" w:hanging="504"/>
      </w:pPr>
      <w:rPr>
        <w:smallCaps w:val="false"/>
        <w:caps w:val="false"/>
        <w:outline w:val="false"/>
        <w:dstrike w:val="false"/>
        <w:strike w:val="false"/>
        <w:vertAlign w:val="baseline"/>
        <w:position w:val="0"/>
        <w:sz w:val="24"/>
        <w:sz w:val="24"/>
        <w:spacing w:val="0"/>
        <w:i w:val="false"/>
        <w:shadow w:val="false"/>
        <w:u w:val="none"/>
        <w:b w:val="false"/>
        <w:kern w:val="0"/>
        <w:effect w:val="none"/>
        <w:szCs w:val="24"/>
        <w:iCs w:val="false"/>
        <w:bCs w:val="false"/>
        <w:em w:val="none"/>
        <w:emboss w:val="false"/>
        <w:imprint w:val="false"/>
        <w:vanish w:val="false"/>
        <w:rFonts w:ascii="Arial" w:hAnsi="Arial" w:cs="Arial"/>
        <w:color w:val="auto"/>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3">
      <w:start w:val="1"/>
      <w:numFmt w:val="decimal"/>
      <w:lvlText w:val="%1.%2.%3.%4."/>
      <w:lvlJc w:val="left"/>
      <w:pPr>
        <w:tabs>
          <w:tab w:val="num" w:pos="0"/>
        </w:tabs>
        <w:ind w:left="790" w:hanging="648"/>
      </w:pPr>
      <w:rPr>
        <w:sz w:val="24"/>
        <w:b w:val="false"/>
        <w:szCs w:val="24"/>
        <w:rFonts w:ascii="Arial" w:hAnsi="Arial" w:cs="Arial"/>
        <w:color w:val="auto"/>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ordinal"/>
      <w:lvlText w:val="§%1 - "/>
      <w:lvlJc w:val="right"/>
      <w:pPr>
        <w:tabs>
          <w:tab w:val="num" w:pos="851"/>
        </w:tabs>
        <w:ind w:left="851" w:hanging="0"/>
      </w:pPr>
      <w:rPr/>
    </w:lvl>
    <w:lvl w:ilvl="1">
      <w:start w:val="1"/>
      <w:numFmt w:val="lowerRoman"/>
      <w:lvlText w:val="%2 - "/>
      <w:lvlJc w:val="right"/>
      <w:pPr>
        <w:tabs>
          <w:tab w:val="num" w:pos="1418"/>
        </w:tabs>
        <w:ind w:left="1418" w:hanging="284"/>
      </w:pPr>
      <w:rPr/>
    </w:lvl>
    <w:lvl w:ilvl="2">
      <w:start w:val="1"/>
      <w:numFmt w:val="lowerLetter"/>
      <w:lvlText w:val="%3 -"/>
      <w:lvlJc w:val="left"/>
      <w:pPr>
        <w:tabs>
          <w:tab w:val="num" w:pos="284"/>
        </w:tabs>
        <w:ind w:left="1758" w:hanging="340"/>
      </w:pPr>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b w:val="false"/>
      </w:rPr>
    </w:lvl>
    <w:lvl w:ilvl="2">
      <w:start w:val="1"/>
      <w:numFmt w:val="decimal"/>
      <w:lvlText w:val="%1.%2.%3."/>
      <w:lvlJc w:val="left"/>
      <w:pPr>
        <w:tabs>
          <w:tab w:val="num" w:pos="0"/>
        </w:tabs>
        <w:ind w:left="1224" w:hanging="504"/>
      </w:pPr>
      <w:rPr>
        <w:b w:val="false"/>
      </w:rPr>
    </w:lvl>
    <w:lvl w:ilvl="3">
      <w:start w:val="1"/>
      <w:numFmt w:val="decimal"/>
      <w:lvlText w:val="%1.%2.%3.%4."/>
      <w:lvlJc w:val="left"/>
      <w:pPr>
        <w:tabs>
          <w:tab w:val="num" w:pos="0"/>
        </w:tabs>
        <w:ind w:left="1728" w:hanging="648"/>
      </w:pPr>
      <w:rPr>
        <w:b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d2d8c"/>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bf349c"/>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val="true"/>
      <w:keepLines/>
      <w:spacing w:before="40" w:after="0"/>
      <w:ind w:left="576" w:hanging="576"/>
      <w:outlineLvl w:val="1"/>
    </w:pPr>
    <w:rPr>
      <w:rFonts w:ascii="Cambria" w:hAnsi="Cambria" w:eastAsia="" w:cs="" w:asciiTheme="majorHAnsi" w:cstheme="majorBidi" w:eastAsiaTheme="majorEastAsia" w:hAnsiTheme="majorHAnsi"/>
      <w:color w:val="365F91" w:themeColor="accent1" w:themeShade="bf"/>
      <w:sz w:val="26"/>
      <w:szCs w:val="26"/>
    </w:rPr>
  </w:style>
  <w:style w:type="paragraph" w:styleId="Ttulo3">
    <w:name w:val="Heading 3"/>
    <w:basedOn w:val="Normal"/>
    <w:next w:val="Normal"/>
    <w:link w:val="Ttulo3Char"/>
    <w:unhideWhenUsed/>
    <w:qFormat/>
    <w:rsid w:val="002379d7"/>
    <w:pPr>
      <w:keepNext w:val="true"/>
      <w:spacing w:lineRule="auto" w:line="240" w:before="240" w:after="60"/>
      <w:ind w:left="720" w:hanging="720"/>
      <w:textAlignment w:val="baseline"/>
      <w:outlineLvl w:val="2"/>
    </w:pPr>
    <w:rPr>
      <w:rFonts w:ascii="Cambria" w:hAnsi="Cambria" w:eastAsia="Times New Roman" w:cs="Times New Roman"/>
      <w:b/>
      <w:bCs/>
      <w:sz w:val="26"/>
      <w:szCs w:val="26"/>
    </w:rPr>
  </w:style>
  <w:style w:type="paragraph" w:styleId="Ttulo4">
    <w:name w:val="Heading 4"/>
    <w:basedOn w:val="Normal"/>
    <w:next w:val="Normal"/>
    <w:link w:val="Ttulo4Char"/>
    <w:uiPriority w:val="9"/>
    <w:semiHidden/>
    <w:unhideWhenUsed/>
    <w:qFormat/>
    <w:rsid w:val="002379d7"/>
    <w:pPr>
      <w:keepNext w:val="true"/>
      <w:keepLines/>
      <w:spacing w:before="40" w:after="0"/>
      <w:ind w:left="864" w:hanging="864"/>
      <w:outlineLvl w:val="3"/>
    </w:pPr>
    <w:rPr>
      <w:rFonts w:ascii="Cambria" w:hAnsi="Cambria" w:eastAsia="" w:cs="" w:asciiTheme="majorHAnsi" w:cstheme="majorBidi" w:eastAsiaTheme="majorEastAsia" w:hAnsiTheme="majorHAnsi"/>
      <w:i/>
      <w:iCs/>
      <w:color w:val="365F91" w:themeColor="accent1" w:themeShade="bf"/>
    </w:rPr>
  </w:style>
  <w:style w:type="paragraph" w:styleId="Ttulo5">
    <w:name w:val="Heading 5"/>
    <w:basedOn w:val="Normal"/>
    <w:next w:val="Normal"/>
    <w:link w:val="Ttulo5Char"/>
    <w:uiPriority w:val="9"/>
    <w:semiHidden/>
    <w:unhideWhenUsed/>
    <w:qFormat/>
    <w:rsid w:val="002379d7"/>
    <w:pPr>
      <w:keepNext w:val="true"/>
      <w:keepLines/>
      <w:spacing w:before="40" w:after="0"/>
      <w:ind w:left="1008" w:hanging="1008"/>
      <w:outlineLvl w:val="4"/>
    </w:pPr>
    <w:rPr>
      <w:rFonts w:ascii="Cambria" w:hAnsi="Cambria" w:eastAsia="" w:cs="" w:asciiTheme="majorHAnsi" w:cstheme="majorBidi" w:eastAsiaTheme="majorEastAsia" w:hAnsiTheme="majorHAnsi"/>
      <w:color w:val="365F91" w:themeColor="accent1" w:themeShade="bf"/>
    </w:rPr>
  </w:style>
  <w:style w:type="paragraph" w:styleId="Ttulo6">
    <w:name w:val="Heading 6"/>
    <w:basedOn w:val="Normal"/>
    <w:next w:val="Normal"/>
    <w:link w:val="Ttulo6Char"/>
    <w:uiPriority w:val="9"/>
    <w:semiHidden/>
    <w:unhideWhenUsed/>
    <w:qFormat/>
    <w:rsid w:val="002379d7"/>
    <w:pPr>
      <w:keepNext w:val="true"/>
      <w:keepLines/>
      <w:spacing w:before="40" w:after="0"/>
      <w:ind w:left="1152" w:hanging="1152"/>
      <w:outlineLvl w:val="5"/>
    </w:pPr>
    <w:rPr>
      <w:rFonts w:ascii="Cambria" w:hAnsi="Cambria" w:eastAsia="" w:cs="" w:asciiTheme="majorHAnsi" w:cstheme="majorBidi" w:eastAsiaTheme="majorEastAsia" w:hAnsiTheme="majorHAnsi"/>
      <w:color w:val="243F60" w:themeColor="accent1" w:themeShade="7f"/>
    </w:rPr>
  </w:style>
  <w:style w:type="paragraph" w:styleId="Ttulo7">
    <w:name w:val="Heading 7"/>
    <w:basedOn w:val="Normal"/>
    <w:next w:val="Normal"/>
    <w:link w:val="Ttulo7Char"/>
    <w:uiPriority w:val="9"/>
    <w:semiHidden/>
    <w:unhideWhenUsed/>
    <w:qFormat/>
    <w:rsid w:val="002379d7"/>
    <w:pPr>
      <w:keepNext w:val="true"/>
      <w:keepLines/>
      <w:spacing w:before="40" w:after="0"/>
      <w:ind w:left="1296" w:hanging="1296"/>
      <w:outlineLvl w:val="6"/>
    </w:pPr>
    <w:rPr>
      <w:rFonts w:ascii="Cambria" w:hAnsi="Cambria" w:eastAsia="" w:cs="" w:asciiTheme="majorHAnsi" w:cstheme="majorBidi" w:eastAsiaTheme="majorEastAsia" w:hAnsiTheme="majorHAnsi"/>
      <w:i/>
      <w:iCs/>
      <w:color w:val="243F60" w:themeColor="accent1" w:themeShade="7f"/>
    </w:rPr>
  </w:style>
  <w:style w:type="paragraph" w:styleId="Ttulo8">
    <w:name w:val="Heading 8"/>
    <w:basedOn w:val="Normal"/>
    <w:next w:val="Normal"/>
    <w:link w:val="Ttulo8Char"/>
    <w:uiPriority w:val="9"/>
    <w:semiHidden/>
    <w:unhideWhenUsed/>
    <w:qFormat/>
    <w:rsid w:val="002379d7"/>
    <w:pPr>
      <w:keepNext w:val="true"/>
      <w:keepLines/>
      <w:spacing w:before="40" w:after="0"/>
      <w:ind w:left="1440" w:hanging="1440"/>
      <w:outlineLvl w:val="7"/>
    </w:pPr>
    <w:rPr>
      <w:rFonts w:ascii="Cambria" w:hAnsi="Cambria" w:eastAsia="" w:cs="" w:asciiTheme="majorHAnsi" w:cstheme="majorBidi" w:eastAsiaTheme="majorEastAsia" w:hAnsiTheme="majorHAns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val="true"/>
      <w:keepLines/>
      <w:spacing w:before="40" w:after="0"/>
      <w:ind w:left="1584" w:hanging="1584"/>
      <w:outlineLvl w:val="8"/>
    </w:pPr>
    <w:rPr>
      <w:rFonts w:ascii="Cambria" w:hAnsi="Cambria" w:eastAsia="" w:cs="" w:asciiTheme="majorHAnsi" w:cstheme="majorBidi" w:eastAsiaTheme="majorEastAsia" w:hAnsiTheme="majorHAnsi"/>
      <w:i/>
      <w:iCs/>
      <w:color w:val="272727" w:themeColor="text1" w:themeTint="d8"/>
      <w:sz w:val="21"/>
      <w:szCs w:val="21"/>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ec7082"/>
    <w:rPr/>
  </w:style>
  <w:style w:type="character" w:styleId="RodapChar" w:customStyle="1">
    <w:name w:val="Rodapé Char"/>
    <w:basedOn w:val="DefaultParagraphFont"/>
    <w:uiPriority w:val="99"/>
    <w:qFormat/>
    <w:rsid w:val="00ec7082"/>
    <w:rPr/>
  </w:style>
  <w:style w:type="character" w:styleId="TextodebaloChar" w:customStyle="1">
    <w:name w:val="Texto de balão Char"/>
    <w:basedOn w:val="DefaultParagraphFont"/>
    <w:link w:val="BalloonText"/>
    <w:qFormat/>
    <w:rsid w:val="00ec7082"/>
    <w:rPr>
      <w:rFonts w:ascii="Tahoma" w:hAnsi="Tahoma" w:cs="Tahoma"/>
      <w:sz w:val="16"/>
      <w:szCs w:val="16"/>
    </w:rPr>
  </w:style>
  <w:style w:type="character" w:styleId="Annotationreference">
    <w:name w:val="annotation reference"/>
    <w:basedOn w:val="DefaultParagraphFont"/>
    <w:uiPriority w:val="99"/>
    <w:semiHidden/>
    <w:unhideWhenUsed/>
    <w:qFormat/>
    <w:rsid w:val="007f16bb"/>
    <w:rPr>
      <w:sz w:val="16"/>
      <w:szCs w:val="16"/>
    </w:rPr>
  </w:style>
  <w:style w:type="character" w:styleId="TextodecomentrioChar" w:customStyle="1">
    <w:name w:val="Texto de comentário Char"/>
    <w:basedOn w:val="DefaultParagraphFont"/>
    <w:link w:val="Annotationtext"/>
    <w:uiPriority w:val="99"/>
    <w:semiHidden/>
    <w:qFormat/>
    <w:rsid w:val="007f16bb"/>
    <w:rPr>
      <w:sz w:val="20"/>
      <w:szCs w:val="20"/>
    </w:rPr>
  </w:style>
  <w:style w:type="character" w:styleId="AssuntodocomentrioChar" w:customStyle="1">
    <w:name w:val="Assunto do comentário Char"/>
    <w:basedOn w:val="TextodecomentrioChar"/>
    <w:link w:val="Annotationsubject"/>
    <w:uiPriority w:val="99"/>
    <w:semiHidden/>
    <w:qFormat/>
    <w:rsid w:val="007f16bb"/>
    <w:rPr>
      <w:b/>
      <w:bCs/>
      <w:sz w:val="20"/>
      <w:szCs w:val="20"/>
    </w:rPr>
  </w:style>
  <w:style w:type="character" w:styleId="LinkdaInternet">
    <w:name w:val="Hyperlink"/>
    <w:basedOn w:val="DefaultParagraphFont"/>
    <w:uiPriority w:val="99"/>
    <w:unhideWhenUsed/>
    <w:rsid w:val="00831277"/>
    <w:rPr>
      <w:color w:val="0000FF" w:themeColor="hyperlink"/>
      <w:u w:val="single"/>
    </w:rPr>
  </w:style>
  <w:style w:type="character" w:styleId="Ttulo1Char" w:customStyle="1">
    <w:name w:val="Título 1 Char"/>
    <w:basedOn w:val="DefaultParagraphFont"/>
    <w:uiPriority w:val="9"/>
    <w:qFormat/>
    <w:rsid w:val="00bf349c"/>
    <w:rPr>
      <w:rFonts w:ascii="Cambria" w:hAnsi="Cambria" w:eastAsia="" w:cs="" w:asciiTheme="majorHAnsi" w:cstheme="majorBidi" w:eastAsiaTheme="majorEastAsia" w:hAnsiTheme="majorHAnsi"/>
      <w:color w:val="365F91" w:themeColor="accent1" w:themeShade="bf"/>
      <w:sz w:val="32"/>
      <w:szCs w:val="32"/>
    </w:rPr>
  </w:style>
  <w:style w:type="character" w:styleId="PargrafodaListaChar" w:customStyle="1">
    <w:name w:val="Parágrafo da Lista Char"/>
    <w:link w:val="ListParagraph"/>
    <w:uiPriority w:val="34"/>
    <w:qFormat/>
    <w:locked/>
    <w:rsid w:val="005a3a3e"/>
    <w:rPr/>
  </w:style>
  <w:style w:type="character" w:styleId="Ttulo2Char" w:customStyle="1">
    <w:name w:val="Título 2 Char"/>
    <w:basedOn w:val="DefaultParagraphFont"/>
    <w:uiPriority w:val="9"/>
    <w:semiHidden/>
    <w:qFormat/>
    <w:rsid w:val="002379d7"/>
    <w:rPr>
      <w:rFonts w:ascii="Cambria" w:hAnsi="Cambria" w:eastAsia="" w:cs="" w:asciiTheme="majorHAnsi" w:cstheme="majorBidi" w:eastAsiaTheme="majorEastAsia" w:hAnsiTheme="majorHAnsi"/>
      <w:color w:val="365F91" w:themeColor="accent1" w:themeShade="bf"/>
      <w:sz w:val="26"/>
      <w:szCs w:val="26"/>
    </w:rPr>
  </w:style>
  <w:style w:type="character" w:styleId="Ttulo3Char" w:customStyle="1">
    <w:name w:val="Título 3 Char"/>
    <w:basedOn w:val="DefaultParagraphFont"/>
    <w:qFormat/>
    <w:rsid w:val="002379d7"/>
    <w:rPr>
      <w:rFonts w:ascii="Cambria" w:hAnsi="Cambria" w:eastAsia="Times New Roman" w:cs="Times New Roman"/>
      <w:b/>
      <w:bCs/>
      <w:sz w:val="26"/>
      <w:szCs w:val="26"/>
    </w:rPr>
  </w:style>
  <w:style w:type="character" w:styleId="Ttulo4Char" w:customStyle="1">
    <w:name w:val="Título 4 Char"/>
    <w:basedOn w:val="DefaultParagraphFont"/>
    <w:uiPriority w:val="9"/>
    <w:semiHidden/>
    <w:qFormat/>
    <w:rsid w:val="002379d7"/>
    <w:rPr>
      <w:rFonts w:ascii="Cambria" w:hAnsi="Cambria" w:eastAsia="" w:cs="" w:asciiTheme="majorHAnsi" w:cstheme="majorBidi" w:eastAsiaTheme="majorEastAsia" w:hAnsiTheme="majorHAnsi"/>
      <w:i/>
      <w:iCs/>
      <w:color w:val="365F91" w:themeColor="accent1" w:themeShade="bf"/>
    </w:rPr>
  </w:style>
  <w:style w:type="character" w:styleId="Ttulo5Char" w:customStyle="1">
    <w:name w:val="Título 5 Char"/>
    <w:basedOn w:val="DefaultParagraphFont"/>
    <w:uiPriority w:val="9"/>
    <w:semiHidden/>
    <w:qFormat/>
    <w:rsid w:val="002379d7"/>
    <w:rPr>
      <w:rFonts w:ascii="Cambria" w:hAnsi="Cambria" w:eastAsia="" w:cs="" w:asciiTheme="majorHAnsi" w:cstheme="majorBidi" w:eastAsiaTheme="majorEastAsia" w:hAnsiTheme="majorHAnsi"/>
      <w:color w:val="365F91" w:themeColor="accent1" w:themeShade="bf"/>
    </w:rPr>
  </w:style>
  <w:style w:type="character" w:styleId="Ttulo6Char" w:customStyle="1">
    <w:name w:val="Título 6 Char"/>
    <w:basedOn w:val="DefaultParagraphFont"/>
    <w:uiPriority w:val="9"/>
    <w:semiHidden/>
    <w:qFormat/>
    <w:rsid w:val="002379d7"/>
    <w:rPr>
      <w:rFonts w:ascii="Cambria" w:hAnsi="Cambria" w:eastAsia="" w:cs="" w:asciiTheme="majorHAnsi" w:cstheme="majorBidi" w:eastAsiaTheme="majorEastAsia" w:hAnsiTheme="majorHAnsi"/>
      <w:color w:val="243F60" w:themeColor="accent1" w:themeShade="7f"/>
    </w:rPr>
  </w:style>
  <w:style w:type="character" w:styleId="Ttulo7Char" w:customStyle="1">
    <w:name w:val="Título 7 Char"/>
    <w:basedOn w:val="DefaultParagraphFont"/>
    <w:uiPriority w:val="9"/>
    <w:semiHidden/>
    <w:qFormat/>
    <w:rsid w:val="002379d7"/>
    <w:rPr>
      <w:rFonts w:ascii="Cambria" w:hAnsi="Cambria" w:eastAsia="" w:cs="" w:asciiTheme="majorHAnsi" w:cstheme="majorBidi" w:eastAsiaTheme="majorEastAsia" w:hAnsiTheme="majorHAnsi"/>
      <w:i/>
      <w:iCs/>
      <w:color w:val="243F60" w:themeColor="accent1" w:themeShade="7f"/>
    </w:rPr>
  </w:style>
  <w:style w:type="character" w:styleId="Ttulo8Char" w:customStyle="1">
    <w:name w:val="Título 8 Char"/>
    <w:basedOn w:val="DefaultParagraphFont"/>
    <w:uiPriority w:val="9"/>
    <w:semiHidden/>
    <w:qFormat/>
    <w:rsid w:val="002379d7"/>
    <w:rPr>
      <w:rFonts w:ascii="Cambria" w:hAnsi="Cambria" w:eastAsia="" w:cs="" w:asciiTheme="majorHAnsi" w:cstheme="majorBidi" w:eastAsiaTheme="majorEastAsia" w:hAnsiTheme="majorHAnsi"/>
      <w:color w:val="272727" w:themeColor="text1" w:themeTint="d8"/>
      <w:sz w:val="21"/>
      <w:szCs w:val="21"/>
    </w:rPr>
  </w:style>
  <w:style w:type="character" w:styleId="Ttulo9Char" w:customStyle="1">
    <w:name w:val="Título 9 Char"/>
    <w:basedOn w:val="DefaultParagraphFont"/>
    <w:uiPriority w:val="9"/>
    <w:semiHidden/>
    <w:qFormat/>
    <w:rsid w:val="002379d7"/>
    <w:rPr>
      <w:rFonts w:ascii="Cambria" w:hAnsi="Cambria" w:eastAsia="" w:cs="" w:asciiTheme="majorHAnsi" w:cstheme="majorBidi" w:eastAsiaTheme="majorEastAsia" w:hAnsiTheme="majorHAnsi"/>
      <w:i/>
      <w:iCs/>
      <w:color w:val="272727" w:themeColor="text1" w:themeTint="d8"/>
      <w:sz w:val="21"/>
      <w:szCs w:val="21"/>
    </w:rPr>
  </w:style>
  <w:style w:type="character" w:styleId="CharacterStyle1" w:customStyle="1">
    <w:name w:val="Character Style 1"/>
    <w:uiPriority w:val="99"/>
    <w:qFormat/>
    <w:rsid w:val="002379d7"/>
    <w:rPr>
      <w:sz w:val="20"/>
      <w:szCs w:val="20"/>
    </w:rPr>
  </w:style>
  <w:style w:type="character" w:styleId="Titlelist" w:customStyle="1">
    <w:name w:val="title-list"/>
    <w:basedOn w:val="DefaultParagraphFont"/>
    <w:qFormat/>
    <w:rsid w:val="002379d7"/>
    <w:rPr/>
  </w:style>
  <w:style w:type="character" w:styleId="Strong">
    <w:name w:val="Strong"/>
    <w:basedOn w:val="DefaultParagraphFont"/>
    <w:uiPriority w:val="22"/>
    <w:qFormat/>
    <w:rsid w:val="002379d7"/>
    <w:rPr>
      <w:b/>
      <w:bCs/>
    </w:rPr>
  </w:style>
  <w:style w:type="character" w:styleId="Linkdainternetvisitado">
    <w:name w:val="FollowedHyperlink"/>
    <w:basedOn w:val="DefaultParagraphFont"/>
    <w:uiPriority w:val="99"/>
    <w:semiHidden/>
    <w:unhideWhenUsed/>
    <w:rsid w:val="002379d7"/>
    <w:rPr>
      <w:color w:val="800080" w:themeColor="followedHyperlink"/>
      <w:u w:val="single"/>
    </w:rPr>
  </w:style>
  <w:style w:type="character" w:styleId="Markedcontent" w:customStyle="1">
    <w:name w:val="markedcontent"/>
    <w:basedOn w:val="DefaultParagraphFont"/>
    <w:qFormat/>
    <w:rsid w:val="00b90669"/>
    <w:rPr/>
  </w:style>
  <w:style w:type="character" w:styleId="MenoPendente1" w:customStyle="1">
    <w:name w:val="Menção Pendente1"/>
    <w:basedOn w:val="DefaultParagraphFont"/>
    <w:uiPriority w:val="99"/>
    <w:semiHidden/>
    <w:unhideWhenUsed/>
    <w:qFormat/>
    <w:rsid w:val="00501fe8"/>
    <w:rPr>
      <w:color w:val="605E5C"/>
      <w:shd w:fill="E1DFDD" w:val="clear"/>
    </w:rPr>
  </w:style>
  <w:style w:type="character" w:styleId="MenoPendente2" w:customStyle="1">
    <w:name w:val="Menção Pendente2"/>
    <w:basedOn w:val="DefaultParagraphFont"/>
    <w:uiPriority w:val="99"/>
    <w:semiHidden/>
    <w:unhideWhenUsed/>
    <w:qFormat/>
    <w:rsid w:val="00501fe8"/>
    <w:rPr>
      <w:color w:val="605E5C"/>
      <w:shd w:fill="E1DFDD" w:val="clear"/>
    </w:rPr>
  </w:style>
  <w:style w:type="character" w:styleId="MenoPendente3" w:customStyle="1">
    <w:name w:val="Menção Pendente3"/>
    <w:basedOn w:val="DefaultParagraphFont"/>
    <w:uiPriority w:val="99"/>
    <w:semiHidden/>
    <w:unhideWhenUsed/>
    <w:qFormat/>
    <w:rsid w:val="00501fe8"/>
    <w:rPr>
      <w:color w:val="605E5C"/>
      <w:shd w:fill="E1DFDD" w:val="clear"/>
    </w:rPr>
  </w:style>
  <w:style w:type="character" w:styleId="CorpodetextoChar" w:customStyle="1">
    <w:name w:val="Corpo de texto Char"/>
    <w:basedOn w:val="DefaultParagraphFont"/>
    <w:link w:val="Textbody"/>
    <w:qFormat/>
    <w:rsid w:val="00790fb6"/>
    <w:rPr>
      <w:rFonts w:ascii="Arial MT" w:hAnsi="Arial MT" w:eastAsia="Arial MT" w:cs="Arial MT"/>
      <w:sz w:val="24"/>
      <w:szCs w:val="24"/>
      <w:lang w:val="pt-PT"/>
    </w:rPr>
  </w:style>
  <w:style w:type="character" w:styleId="RecuodecorpodetextoChar" w:customStyle="1">
    <w:name w:val="Recuo de corpo de texto Char"/>
    <w:basedOn w:val="DefaultParagraphFont"/>
    <w:qFormat/>
    <w:rsid w:val="00790fb6"/>
    <w:rPr/>
  </w:style>
  <w:style w:type="character" w:styleId="Texttruncateexpanded" w:customStyle="1">
    <w:name w:val="text-truncate-expanded"/>
    <w:basedOn w:val="DefaultParagraphFont"/>
    <w:qFormat/>
    <w:rsid w:val="008c4aec"/>
    <w:rPr/>
  </w:style>
  <w:style w:type="character" w:styleId="CLUSULAChar" w:customStyle="1">
    <w:name w:val="CLÁUSULA Char"/>
    <w:basedOn w:val="DefaultParagraphFont"/>
    <w:link w:val="CLUSULA"/>
    <w:qFormat/>
    <w:rsid w:val="008c4aec"/>
    <w:rPr>
      <w:rFonts w:ascii="Arial" w:hAnsi="Arial" w:eastAsia="Calibri" w:cs="Arial"/>
      <w:b/>
      <w:bCs/>
      <w:szCs w:val="24"/>
    </w:rPr>
  </w:style>
  <w:style w:type="character" w:styleId="ITENSDOCONTRATOChar" w:customStyle="1">
    <w:name w:val="ITENS DO CONTRATO Char"/>
    <w:basedOn w:val="DefaultParagraphFont"/>
    <w:link w:val="ITENSDOCONTRATO"/>
    <w:qFormat/>
    <w:rsid w:val="008c4aec"/>
    <w:rPr>
      <w:rFonts w:ascii="Arial" w:hAnsi="Arial" w:eastAsia="Calibri" w:cs="Arial"/>
      <w:bCs/>
      <w:szCs w:val="24"/>
    </w:rPr>
  </w:style>
  <w:style w:type="character" w:styleId="Addor" w:customStyle="1">
    <w:name w:val="add-or"/>
    <w:qFormat/>
    <w:rsid w:val="00ff7257"/>
    <w:rPr/>
  </w:style>
  <w:style w:type="character" w:styleId="CharChar12" w:customStyle="1">
    <w:name w:val="Char Char12"/>
    <w:semiHidden/>
    <w:qFormat/>
    <w:locked/>
    <w:rsid w:val="00ff7257"/>
    <w:rPr>
      <w:rFonts w:ascii="Cambria" w:hAnsi="Cambria" w:eastAsia="MS Minngs"/>
      <w:sz w:val="24"/>
      <w:szCs w:val="24"/>
      <w:lang w:val="x-none" w:eastAsia="x-none" w:bidi="ar-SA"/>
    </w:rPr>
  </w:style>
  <w:style w:type="character" w:styleId="Pagenumber">
    <w:name w:val="page number"/>
    <w:qFormat/>
    <w:rsid w:val="00ff7257"/>
    <w:rPr/>
  </w:style>
  <w:style w:type="character" w:styleId="CharChar11" w:customStyle="1">
    <w:name w:val="Char Char11"/>
    <w:semiHidden/>
    <w:qFormat/>
    <w:locked/>
    <w:rsid w:val="00ff7257"/>
    <w:rPr>
      <w:rFonts w:ascii="Cambria" w:hAnsi="Cambria" w:eastAsia="MS Minngs"/>
      <w:sz w:val="24"/>
      <w:szCs w:val="24"/>
      <w:lang w:val="x-none" w:eastAsia="x-none" w:bidi="ar-SA"/>
    </w:rPr>
  </w:style>
  <w:style w:type="character" w:styleId="CharChar9" w:customStyle="1">
    <w:name w:val="Char Char9"/>
    <w:semiHidden/>
    <w:qFormat/>
    <w:rsid w:val="00ff7257"/>
    <w:rPr>
      <w:rFonts w:ascii="Cambria" w:hAnsi="Cambria" w:eastAsia="MS Minngs"/>
      <w:sz w:val="24"/>
      <w:szCs w:val="24"/>
      <w:lang w:val="x-none" w:eastAsia="en-US" w:bidi="ar-SA"/>
    </w:rPr>
  </w:style>
  <w:style w:type="character" w:styleId="T202654" w:customStyle="1">
    <w:name w:val="t202654"/>
    <w:semiHidden/>
    <w:qFormat/>
    <w:rsid w:val="00ff7257"/>
    <w:rPr>
      <w:rFonts w:ascii="Verdana" w:hAnsi="Verdana" w:cs="Verdana"/>
      <w:i/>
      <w:iCs/>
      <w:color w:val="000080"/>
      <w:sz w:val="22"/>
      <w:szCs w:val="22"/>
      <w:u w:val="none"/>
    </w:rPr>
  </w:style>
  <w:style w:type="character" w:styleId="PartesuperiorzdoformulrioChar" w:customStyle="1">
    <w:name w:val="Parte superior-z do formulário Char"/>
    <w:basedOn w:val="DefaultParagraphFont"/>
    <w:link w:val="HTMLTopofForm"/>
    <w:qFormat/>
    <w:rsid w:val="00ff7257"/>
    <w:rPr>
      <w:rFonts w:ascii="Arial" w:hAnsi="Arial" w:eastAsia="Times New Roman" w:cs="Arial"/>
      <w:vanish/>
      <w:sz w:val="16"/>
      <w:szCs w:val="16"/>
      <w:lang w:eastAsia="pt-BR"/>
    </w:rPr>
  </w:style>
  <w:style w:type="character" w:styleId="CharacterStyle2" w:customStyle="1">
    <w:name w:val="Character Style 2"/>
    <w:uiPriority w:val="99"/>
    <w:qFormat/>
    <w:rsid w:val="00ff7257"/>
    <w:rPr>
      <w:sz w:val="20"/>
      <w:szCs w:val="20"/>
    </w:rPr>
  </w:style>
  <w:style w:type="character" w:styleId="Corpodetexto3Char" w:customStyle="1">
    <w:name w:val="Corpo de texto 3 Char"/>
    <w:basedOn w:val="DefaultParagraphFont"/>
    <w:link w:val="BodyText3"/>
    <w:qFormat/>
    <w:rsid w:val="00ff7257"/>
    <w:rPr>
      <w:rFonts w:ascii="Cambria" w:hAnsi="Cambria" w:eastAsia="MS Minngs" w:cs="Cambria"/>
      <w:sz w:val="16"/>
      <w:szCs w:val="16"/>
    </w:rPr>
  </w:style>
  <w:style w:type="character" w:styleId="Corpodetexto2Char" w:customStyle="1">
    <w:name w:val="Corpo de texto 2 Char"/>
    <w:basedOn w:val="DefaultParagraphFont"/>
    <w:link w:val="BodyText2"/>
    <w:qFormat/>
    <w:rsid w:val="00ff7257"/>
    <w:rPr>
      <w:rFonts w:ascii="Cambria" w:hAnsi="Cambria" w:eastAsia="MS Minngs" w:cs="Cambria"/>
      <w:sz w:val="24"/>
      <w:szCs w:val="24"/>
    </w:rPr>
  </w:style>
  <w:style w:type="character" w:styleId="Estilo2TCEChar" w:customStyle="1">
    <w:name w:val="Estilo2 -TCE Char"/>
    <w:link w:val="Estilo2TCE"/>
    <w:qFormat/>
    <w:rsid w:val="00ff7257"/>
    <w:rPr>
      <w:rFonts w:ascii="Arial" w:hAnsi="Arial" w:eastAsia="TimesNewRomanPS-BoldMT" w:cs="Arial"/>
    </w:rPr>
  </w:style>
  <w:style w:type="character" w:styleId="11TRChar" w:customStyle="1">
    <w:name w:val="1.1 TR Char"/>
    <w:basedOn w:val="PargrafodaListaChar"/>
    <w:link w:val="11TR"/>
    <w:qFormat/>
    <w:rsid w:val="00ff7257"/>
    <w:rPr>
      <w:rFonts w:ascii="Arial" w:hAnsi="Arial" w:cs="Arial"/>
      <w:sz w:val="24"/>
      <w:szCs w:val="24"/>
    </w:rPr>
  </w:style>
  <w:style w:type="character" w:styleId="Textrun" w:customStyle="1">
    <w:name w:val="textrun"/>
    <w:basedOn w:val="DefaultParagraphFont"/>
    <w:qFormat/>
    <w:rsid w:val="00ff7257"/>
    <w:rPr/>
  </w:style>
  <w:style w:type="character" w:styleId="Normaltextrun" w:customStyle="1">
    <w:name w:val="normaltextrun"/>
    <w:basedOn w:val="DefaultParagraphFont"/>
    <w:qFormat/>
    <w:rsid w:val="00ff7257"/>
    <w:rPr/>
  </w:style>
  <w:style w:type="character" w:styleId="Eop" w:customStyle="1">
    <w:name w:val="eop"/>
    <w:basedOn w:val="DefaultParagraphFont"/>
    <w:qFormat/>
    <w:rsid w:val="00ff7257"/>
    <w:rPr/>
  </w:style>
  <w:style w:type="character" w:styleId="Pagebreakblob" w:customStyle="1">
    <w:name w:val="pagebreakblob"/>
    <w:basedOn w:val="DefaultParagraphFont"/>
    <w:qFormat/>
    <w:rsid w:val="00ff7257"/>
    <w:rPr/>
  </w:style>
  <w:style w:type="character" w:styleId="Linebreakblob" w:customStyle="1">
    <w:name w:val="linebreakblob"/>
    <w:basedOn w:val="DefaultParagraphFont"/>
    <w:qFormat/>
    <w:rsid w:val="00ff7257"/>
    <w:rPr/>
  </w:style>
  <w:style w:type="character" w:styleId="Scxw192282914" w:customStyle="1">
    <w:name w:val="scxw192282914"/>
    <w:basedOn w:val="DefaultParagraphFont"/>
    <w:qFormat/>
    <w:rsid w:val="00ff7257"/>
    <w:rPr/>
  </w:style>
  <w:style w:type="character" w:styleId="Mathequationcontainer" w:customStyle="1">
    <w:name w:val="mathequationcontainer"/>
    <w:basedOn w:val="DefaultParagraphFont"/>
    <w:qFormat/>
    <w:rsid w:val="00ff7257"/>
    <w:rPr/>
  </w:style>
  <w:style w:type="character" w:styleId="Mathspan" w:customStyle="1">
    <w:name w:val="mathspan"/>
    <w:basedOn w:val="DefaultParagraphFont"/>
    <w:qFormat/>
    <w:rsid w:val="00ff7257"/>
    <w:rPr/>
  </w:style>
  <w:style w:type="character" w:styleId="Mathjaxpreview" w:customStyle="1">
    <w:name w:val="mathjax_preview"/>
    <w:basedOn w:val="DefaultParagraphFont"/>
    <w:qFormat/>
    <w:rsid w:val="00ff7257"/>
    <w:rPr/>
  </w:style>
  <w:style w:type="character" w:styleId="Mathjax" w:customStyle="1">
    <w:name w:val="mathjax"/>
    <w:basedOn w:val="DefaultParagraphFont"/>
    <w:qFormat/>
    <w:rsid w:val="00ff7257"/>
    <w:rPr/>
  </w:style>
  <w:style w:type="character" w:styleId="Math" w:customStyle="1">
    <w:name w:val="math"/>
    <w:basedOn w:val="DefaultParagraphFont"/>
    <w:qFormat/>
    <w:rsid w:val="00ff7257"/>
    <w:rPr/>
  </w:style>
  <w:style w:type="character" w:styleId="Mrow" w:customStyle="1">
    <w:name w:val="mrow"/>
    <w:basedOn w:val="DefaultParagraphFont"/>
    <w:qFormat/>
    <w:rsid w:val="00ff7257"/>
    <w:rPr/>
  </w:style>
  <w:style w:type="character" w:styleId="Mi" w:customStyle="1">
    <w:name w:val="mi"/>
    <w:basedOn w:val="DefaultParagraphFont"/>
    <w:qFormat/>
    <w:rsid w:val="00ff7257"/>
    <w:rPr/>
  </w:style>
  <w:style w:type="character" w:styleId="Mo" w:customStyle="1">
    <w:name w:val="mo"/>
    <w:basedOn w:val="DefaultParagraphFont"/>
    <w:qFormat/>
    <w:rsid w:val="00ff7257"/>
    <w:rPr/>
  </w:style>
  <w:style w:type="character" w:styleId="Mfrac" w:customStyle="1">
    <w:name w:val="mfrac"/>
    <w:basedOn w:val="DefaultParagraphFont"/>
    <w:qFormat/>
    <w:rsid w:val="00ff7257"/>
    <w:rPr/>
  </w:style>
  <w:style w:type="character" w:styleId="Mn" w:customStyle="1">
    <w:name w:val="mn"/>
    <w:basedOn w:val="DefaultParagraphFont"/>
    <w:qFormat/>
    <w:rsid w:val="00ff7257"/>
    <w:rPr/>
  </w:style>
  <w:style w:type="character" w:styleId="Mjxassistivemathml" w:customStyle="1">
    <w:name w:val="mjx_assistive_mathml"/>
    <w:basedOn w:val="DefaultParagraphFont"/>
    <w:qFormat/>
    <w:rsid w:val="00ff7257"/>
    <w:rPr/>
  </w:style>
  <w:style w:type="character" w:styleId="Scxw121490529" w:customStyle="1">
    <w:name w:val="scxw121490529"/>
    <w:basedOn w:val="DefaultParagraphFont"/>
    <w:qFormat/>
    <w:rsid w:val="00ff7257"/>
    <w:rPr/>
  </w:style>
  <w:style w:type="character" w:styleId="Scxw116980416" w:customStyle="1">
    <w:name w:val="scxw116980416"/>
    <w:basedOn w:val="DefaultParagraphFont"/>
    <w:qFormat/>
    <w:rsid w:val="00ff7257"/>
    <w:rPr/>
  </w:style>
  <w:style w:type="character" w:styleId="CitaoChar" w:customStyle="1">
    <w:name w:val="Citação Char"/>
    <w:basedOn w:val="DefaultParagraphFont"/>
    <w:link w:val="Quote"/>
    <w:qFormat/>
    <w:rsid w:val="002466cc"/>
    <w:rPr>
      <w:rFonts w:ascii="Arial" w:hAnsi="Arial" w:eastAsia="Calibri" w:cs="Tahoma"/>
      <w:i/>
      <w:iCs/>
      <w:color w:val="000000"/>
      <w:sz w:val="20"/>
      <w:szCs w:val="24"/>
      <w:shd w:fill="FFFFCC" w:val="clear"/>
    </w:rPr>
  </w:style>
  <w:style w:type="character" w:styleId="CitaoChar1" w:customStyle="1">
    <w:name w:val="Citação Char1"/>
    <w:basedOn w:val="DefaultParagraphFont"/>
    <w:uiPriority w:val="29"/>
    <w:qFormat/>
    <w:rsid w:val="002466cc"/>
    <w:rPr>
      <w:i/>
      <w:iCs/>
      <w:color w:val="404040" w:themeColor="text1" w:themeTint="bf"/>
    </w:rPr>
  </w:style>
  <w:style w:type="character" w:styleId="WW8Num3z1" w:customStyle="1">
    <w:name w:val="WW8Num3z1"/>
    <w:qFormat/>
    <w:rsid w:val="002466cc"/>
    <w:rPr>
      <w:rFonts w:ascii="Symbol" w:hAnsi="Symbol" w:cs="Symbol"/>
    </w:rPr>
  </w:style>
  <w:style w:type="character" w:styleId="Fontepargpadro1">
    <w:name w:val="Fonte parág. padrão1"/>
    <w:qFormat/>
    <w:rPr/>
  </w:style>
  <w:style w:type="character" w:styleId="Nmerodepgina">
    <w:name w:val="Page Number"/>
    <w:basedOn w:val="Fontepargpadro1"/>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qFormat/>
    <w:rsid w:val="00790fb6"/>
    <w:pPr>
      <w:widowControl w:val="false"/>
      <w:spacing w:lineRule="auto" w:line="240" w:before="0" w:after="0"/>
    </w:pPr>
    <w:rPr>
      <w:rFonts w:ascii="Arial MT" w:hAnsi="Arial MT" w:eastAsia="Arial MT" w:cs="Arial MT"/>
      <w:sz w:val="24"/>
      <w:szCs w:val="24"/>
      <w:lang w:val="pt-PT"/>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nhideWhenUsed/>
    <w:rsid w:val="00ec7082"/>
    <w:pPr>
      <w:tabs>
        <w:tab w:val="clear" w:pos="708"/>
        <w:tab w:val="center" w:pos="4252" w:leader="none"/>
        <w:tab w:val="right" w:pos="8504" w:leader="none"/>
      </w:tabs>
      <w:spacing w:lineRule="auto" w:line="240" w:before="0" w:after="0"/>
    </w:pPr>
    <w:rPr/>
  </w:style>
  <w:style w:type="paragraph" w:styleId="Rodap">
    <w:name w:val="Footer"/>
    <w:basedOn w:val="Normal"/>
    <w:link w:val="RodapChar"/>
    <w:unhideWhenUsed/>
    <w:rsid w:val="00ec7082"/>
    <w:pPr>
      <w:tabs>
        <w:tab w:val="clear" w:pos="708"/>
        <w:tab w:val="center" w:pos="4252" w:leader="none"/>
        <w:tab w:val="right" w:pos="8504" w:leader="none"/>
      </w:tabs>
      <w:spacing w:lineRule="auto" w:line="240" w:before="0" w:after="0"/>
    </w:pPr>
    <w:rPr/>
  </w:style>
  <w:style w:type="paragraph" w:styleId="BalloonText">
    <w:name w:val="Balloon Text"/>
    <w:basedOn w:val="Normal"/>
    <w:link w:val="TextodebaloChar"/>
    <w:unhideWhenUsed/>
    <w:qFormat/>
    <w:rsid w:val="00ec7082"/>
    <w:pPr>
      <w:spacing w:lineRule="auto" w:line="240" w:before="0" w:after="0"/>
    </w:pPr>
    <w:rPr>
      <w:rFonts w:ascii="Tahoma" w:hAnsi="Tahoma" w:cs="Tahoma"/>
      <w:sz w:val="16"/>
      <w:szCs w:val="16"/>
    </w:rPr>
  </w:style>
  <w:style w:type="paragraph" w:styleId="ListParagraph">
    <w:name w:val="List Paragraph"/>
    <w:basedOn w:val="Normal"/>
    <w:link w:val="PargrafodaListaChar"/>
    <w:uiPriority w:val="34"/>
    <w:qFormat/>
    <w:rsid w:val="00c14f13"/>
    <w:pPr>
      <w:spacing w:before="0" w:after="200"/>
      <w:ind w:left="720" w:hanging="0"/>
      <w:contextualSpacing/>
    </w:pPr>
    <w:rPr/>
  </w:style>
  <w:style w:type="paragraph" w:styleId="NormalWeb">
    <w:name w:val="Normal (Web)"/>
    <w:basedOn w:val="Normal"/>
    <w:uiPriority w:val="99"/>
    <w:unhideWhenUsed/>
    <w:qFormat/>
    <w:rsid w:val="00e17e47"/>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semiHidden/>
    <w:unhideWhenUsed/>
    <w:qFormat/>
    <w:rsid w:val="007f16bb"/>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7f16bb"/>
    <w:pPr/>
    <w:rPr>
      <w:b/>
      <w:bCs/>
    </w:rPr>
  </w:style>
  <w:style w:type="paragraph" w:styleId="AvisoClusulaPrincipal" w:customStyle="1">
    <w:name w:val="Aviso - Cláusula Principal"/>
    <w:basedOn w:val="Ttulo1"/>
    <w:qFormat/>
    <w:rsid w:val="00bf349c"/>
    <w:pPr>
      <w:snapToGrid w:val="false"/>
      <w:spacing w:lineRule="auto" w:line="360" w:before="240" w:after="240"/>
      <w:ind w:right="-30" w:hanging="0"/>
      <w:jc w:val="both"/>
    </w:pPr>
    <w:rPr>
      <w:rFonts w:ascii="Arial" w:hAnsi="Arial" w:eastAsia="Times New Roman" w:cs="Arial"/>
      <w:b/>
      <w:color w:val="000000"/>
      <w:sz w:val="24"/>
      <w:szCs w:val="24"/>
      <w:lang w:eastAsia="pt-BR"/>
    </w:rPr>
  </w:style>
  <w:style w:type="paragraph" w:styleId="AvisoClusulaSecundria11" w:customStyle="1">
    <w:name w:val="Aviso - Cláusula Secundária - 1.1"/>
    <w:basedOn w:val="Normal"/>
    <w:autoRedefine/>
    <w:qFormat/>
    <w:rsid w:val="00542ed5"/>
    <w:pPr>
      <w:numPr>
        <w:ilvl w:val="1"/>
        <w:numId w:val="1"/>
      </w:numPr>
      <w:spacing w:lineRule="auto" w:line="360" w:before="0" w:after="240"/>
      <w:ind w:left="1134" w:hanging="567"/>
      <w:jc w:val="both"/>
      <w:textAlignment w:val="baseline"/>
    </w:pPr>
    <w:rPr>
      <w:rFonts w:ascii="Arial" w:hAnsi="Arial" w:eastAsia="WenQuanYi Micro Hei" w:cs="Arial"/>
      <w:color w:val="000000"/>
      <w:sz w:val="24"/>
      <w:szCs w:val="24"/>
      <w:lang w:eastAsia="zh-CN" w:bidi="hi-IN"/>
    </w:rPr>
  </w:style>
  <w:style w:type="paragraph" w:styleId="AvisoClusulaSecundria111" w:customStyle="1">
    <w:name w:val="Aviso - Cláusula Secundária - 1.1.1"/>
    <w:basedOn w:val="Normal"/>
    <w:qFormat/>
    <w:rsid w:val="00497660"/>
    <w:pPr>
      <w:numPr>
        <w:ilvl w:val="2"/>
        <w:numId w:val="1"/>
      </w:numPr>
      <w:spacing w:lineRule="auto" w:line="360" w:before="0" w:after="240"/>
      <w:ind w:left="1985" w:hanging="851"/>
      <w:jc w:val="both"/>
      <w:textAlignment w:val="baseline"/>
    </w:pPr>
    <w:rPr>
      <w:rFonts w:ascii="Arial" w:hAnsi="Arial" w:eastAsia="WenQuanYi Micro Hei" w:cs="Arial"/>
      <w:sz w:val="24"/>
      <w:szCs w:val="24"/>
      <w:lang w:eastAsia="zh-CN" w:bidi="hi-IN"/>
    </w:rPr>
  </w:style>
  <w:style w:type="paragraph" w:styleId="AvisoClusulaSecundria1111" w:customStyle="1">
    <w:name w:val="Aviso - Cláusula Secundária - 1.1.1.1"/>
    <w:basedOn w:val="Normal"/>
    <w:qFormat/>
    <w:rsid w:val="006f5067"/>
    <w:pPr>
      <w:numPr>
        <w:ilvl w:val="3"/>
        <w:numId w:val="1"/>
      </w:numPr>
      <w:spacing w:lineRule="auto" w:line="360" w:before="0" w:after="240"/>
      <w:ind w:left="2977" w:hanging="992"/>
      <w:jc w:val="both"/>
      <w:textAlignment w:val="baseline"/>
    </w:pPr>
    <w:rPr>
      <w:rFonts w:ascii="Arial" w:hAnsi="Arial" w:eastAsia="WenQuanYi Micro Hei" w:cs="Arial"/>
      <w:sz w:val="24"/>
      <w:szCs w:val="24"/>
      <w:lang w:eastAsia="zh-CN" w:bidi="hi-IN"/>
    </w:rPr>
  </w:style>
  <w:style w:type="paragraph" w:styleId="NoSpacing">
    <w:name w:val="No Spacing"/>
    <w:uiPriority w:val="1"/>
    <w:qFormat/>
    <w:rsid w:val="005a3a3e"/>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en-US" w:bidi="ar-SA"/>
    </w:rPr>
  </w:style>
  <w:style w:type="paragraph" w:styleId="BodyText21" w:customStyle="1">
    <w:name w:val="Body Text 21"/>
    <w:basedOn w:val="Normal"/>
    <w:qFormat/>
    <w:rsid w:val="002379d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240" w:before="0" w:after="0"/>
      <w:jc w:val="both"/>
      <w:textAlignment w:val="baseline"/>
    </w:pPr>
    <w:rPr>
      <w:rFonts w:ascii="Arial" w:hAnsi="Arial" w:eastAsia="Times New Roman" w:cs="Times New Roman"/>
      <w:sz w:val="24"/>
      <w:szCs w:val="20"/>
    </w:rPr>
  </w:style>
  <w:style w:type="paragraph" w:styleId="Default" w:customStyle="1">
    <w:name w:val="Default"/>
    <w:qFormat/>
    <w:rsid w:val="002379d7"/>
    <w:pPr>
      <w:widowControl/>
      <w:suppressAutoHyphens w:val="true"/>
      <w:bidi w:val="0"/>
      <w:spacing w:before="0" w:after="0"/>
      <w:jc w:val="left"/>
    </w:pPr>
    <w:rPr>
      <w:rFonts w:ascii="Segoe UI" w:hAnsi="Segoe UI" w:eastAsia="MS Mincho" w:cs="Segoe UI"/>
      <w:color w:val="000000"/>
      <w:kern w:val="0"/>
      <w:sz w:val="24"/>
      <w:szCs w:val="24"/>
      <w:lang w:val="pt-BR" w:eastAsia="pt-BR" w:bidi="ar-SA"/>
    </w:rPr>
  </w:style>
  <w:style w:type="paragraph" w:styleId="Style11" w:customStyle="1">
    <w:name w:val="Style 1"/>
    <w:basedOn w:val="Normal"/>
    <w:uiPriority w:val="99"/>
    <w:qFormat/>
    <w:rsid w:val="002379d7"/>
    <w:pPr>
      <w:widowControl w:val="false"/>
      <w:spacing w:lineRule="auto" w:line="240" w:before="0" w:after="0"/>
    </w:pPr>
    <w:rPr>
      <w:rFonts w:ascii="Times New Roman" w:hAnsi="Times New Roman" w:eastAsia="Times New Roman" w:cs="Times New Roman"/>
      <w:sz w:val="20"/>
      <w:szCs w:val="20"/>
      <w:lang w:eastAsia="pt-BR"/>
    </w:rPr>
  </w:style>
  <w:style w:type="paragraph" w:styleId="Colsm6" w:customStyle="1">
    <w:name w:val="col-sm-6"/>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Colsm12" w:customStyle="1">
    <w:name w:val="col-sm-12"/>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Textbody" w:customStyle="1">
    <w:name w:val="Text body"/>
    <w:basedOn w:val="Normal"/>
    <w:link w:val="CorpodetextoChar"/>
    <w:qFormat/>
    <w:rsid w:val="002379d7"/>
    <w:pPr>
      <w:widowControl w:val="false"/>
      <w:spacing w:lineRule="auto" w:line="240" w:before="0" w:after="120"/>
      <w:textAlignment w:val="baseline"/>
    </w:pPr>
    <w:rPr>
      <w:rFonts w:ascii="Times New Roman" w:hAnsi="Times New Roman" w:eastAsia="SimSun" w:cs="Tahoma"/>
      <w:kern w:val="2"/>
      <w:sz w:val="24"/>
      <w:szCs w:val="24"/>
      <w:lang w:eastAsia="zh-CN" w:bidi="hi-IN"/>
    </w:rPr>
  </w:style>
  <w:style w:type="paragraph" w:styleId="Xmsonormal" w:customStyle="1">
    <w:name w:val="x_msonormal"/>
    <w:basedOn w:val="Normal"/>
    <w:uiPriority w:val="99"/>
    <w:qFormat/>
    <w:rsid w:val="002379d7"/>
    <w:pPr>
      <w:spacing w:lineRule="auto" w:line="240" w:before="0" w:after="0"/>
    </w:pPr>
    <w:rPr>
      <w:rFonts w:ascii="Times New Roman" w:hAnsi="Times New Roman" w:cs="Times New Roman"/>
      <w:sz w:val="24"/>
      <w:szCs w:val="24"/>
      <w:lang w:eastAsia="pt-BR"/>
    </w:rPr>
  </w:style>
  <w:style w:type="paragraph" w:styleId="TableParagraph" w:customStyle="1">
    <w:name w:val="Table Paragraph"/>
    <w:basedOn w:val="Normal"/>
    <w:uiPriority w:val="1"/>
    <w:qFormat/>
    <w:rsid w:val="002379d7"/>
    <w:pPr>
      <w:widowControl w:val="false"/>
      <w:spacing w:lineRule="auto" w:line="240" w:before="9" w:after="0"/>
    </w:pPr>
    <w:rPr>
      <w:rFonts w:ascii="Arial" w:hAnsi="Arial" w:eastAsia="Arial" w:cs="Arial"/>
      <w:lang w:val="pt-PT"/>
    </w:rPr>
  </w:style>
  <w:style w:type="paragraph" w:styleId="11TR" w:customStyle="1">
    <w:name w:val="1.1 TR"/>
    <w:basedOn w:val="ListParagraph"/>
    <w:link w:val="11TRChar"/>
    <w:qFormat/>
    <w:rsid w:val="002379d7"/>
    <w:pPr>
      <w:numPr>
        <w:ilvl w:val="1"/>
        <w:numId w:val="2"/>
      </w:numPr>
      <w:spacing w:lineRule="auto" w:line="240" w:before="0" w:after="0"/>
      <w:contextualSpacing w:val="false"/>
      <w:jc w:val="both"/>
    </w:pPr>
    <w:rPr>
      <w:rFonts w:ascii="Arial" w:hAnsi="Arial" w:cs="Arial"/>
      <w:sz w:val="24"/>
      <w:szCs w:val="24"/>
    </w:rPr>
  </w:style>
  <w:style w:type="paragraph" w:styleId="111TR" w:customStyle="1">
    <w:name w:val="1.1.1 TR"/>
    <w:basedOn w:val="ListParagraph"/>
    <w:qFormat/>
    <w:rsid w:val="002379d7"/>
    <w:pPr>
      <w:numPr>
        <w:ilvl w:val="2"/>
        <w:numId w:val="2"/>
      </w:numPr>
      <w:spacing w:lineRule="auto" w:line="240" w:before="0" w:after="0"/>
      <w:contextualSpacing w:val="false"/>
      <w:jc w:val="both"/>
    </w:pPr>
    <w:rPr>
      <w:rFonts w:ascii="Arial" w:hAnsi="Arial" w:cs="Arial"/>
      <w:sz w:val="24"/>
      <w:szCs w:val="24"/>
    </w:rPr>
  </w:style>
  <w:style w:type="paragraph" w:styleId="1111TR" w:customStyle="1">
    <w:name w:val="1.1.1.1 TR"/>
    <w:basedOn w:val="ListParagraph"/>
    <w:qFormat/>
    <w:rsid w:val="002379d7"/>
    <w:pPr>
      <w:numPr>
        <w:ilvl w:val="3"/>
        <w:numId w:val="2"/>
      </w:numPr>
      <w:spacing w:lineRule="auto" w:line="240" w:before="0" w:after="0"/>
      <w:contextualSpacing w:val="false"/>
      <w:jc w:val="both"/>
    </w:pPr>
    <w:rPr>
      <w:rFonts w:ascii="Arial" w:hAnsi="Arial" w:cs="Arial"/>
      <w:sz w:val="24"/>
      <w:szCs w:val="24"/>
    </w:rPr>
  </w:style>
  <w:style w:type="paragraph" w:styleId="1TR" w:customStyle="1">
    <w:name w:val="1. TR"/>
    <w:basedOn w:val="ListParagraph"/>
    <w:qFormat/>
    <w:rsid w:val="002379d7"/>
    <w:pPr>
      <w:numPr>
        <w:ilvl w:val="0"/>
        <w:numId w:val="2"/>
      </w:numPr>
      <w:spacing w:lineRule="auto" w:line="360" w:before="120" w:after="120"/>
      <w:contextualSpacing w:val="false"/>
    </w:pPr>
    <w:rPr>
      <w:rFonts w:ascii="Arial" w:hAnsi="Arial" w:cs="Arial"/>
      <w:b/>
      <w:sz w:val="24"/>
      <w:szCs w:val="24"/>
    </w:rPr>
  </w:style>
  <w:style w:type="paragraph" w:styleId="Corpodotextorecuado">
    <w:name w:val="Body Text Indent"/>
    <w:basedOn w:val="Normal"/>
    <w:link w:val="RecuodecorpodetextoChar"/>
    <w:unhideWhenUsed/>
    <w:rsid w:val="00790fb6"/>
    <w:pPr>
      <w:spacing w:before="0" w:after="120"/>
      <w:ind w:left="283" w:hanging="0"/>
    </w:pPr>
    <w:rPr/>
  </w:style>
  <w:style w:type="paragraph" w:styleId="CLUSULA" w:customStyle="1">
    <w:name w:val="CLÁUSULA"/>
    <w:basedOn w:val="ITENSDOCONTRATO"/>
    <w:link w:val="CLUSULAChar"/>
    <w:qFormat/>
    <w:rsid w:val="008c4aec"/>
    <w:pPr/>
    <w:rPr>
      <w:b/>
    </w:rPr>
  </w:style>
  <w:style w:type="paragraph" w:styleId="ITENSDOCONTRATO" w:customStyle="1">
    <w:name w:val="ITENS DO CONTRATO"/>
    <w:basedOn w:val="11TR"/>
    <w:link w:val="ITENSDOCONTRATOChar"/>
    <w:qFormat/>
    <w:rsid w:val="008c4aec"/>
    <w:pPr>
      <w:numPr>
        <w:ilvl w:val="0"/>
        <w:numId w:val="0"/>
      </w:numPr>
      <w:spacing w:lineRule="auto" w:line="360"/>
      <w:ind w:left="720" w:hanging="0"/>
    </w:pPr>
    <w:rPr>
      <w:rFonts w:eastAsia="Calibri"/>
      <w:bCs/>
      <w:sz w:val="22"/>
    </w:rPr>
  </w:style>
  <w:style w:type="paragraph" w:styleId="PargrafoNormal" w:customStyle="1">
    <w:name w:val="Parágrafo Normal"/>
    <w:basedOn w:val="Normal"/>
    <w:uiPriority w:val="99"/>
    <w:qFormat/>
    <w:rsid w:val="00ff7257"/>
    <w:pPr>
      <w:spacing w:lineRule="auto" w:line="360" w:before="0" w:after="120"/>
      <w:jc w:val="both"/>
    </w:pPr>
    <w:rPr>
      <w:rFonts w:ascii="Times New Roman" w:hAnsi="Times New Roman" w:eastAsia="MS Minngs" w:cs="Times New Roman"/>
      <w:sz w:val="24"/>
      <w:szCs w:val="24"/>
      <w:lang w:eastAsia="pt-BR"/>
    </w:rPr>
  </w:style>
  <w:style w:type="paragraph" w:styleId="Dataeassinatura" w:customStyle="1">
    <w:name w:val="Data e assinatura"/>
    <w:basedOn w:val="Normal"/>
    <w:uiPriority w:val="99"/>
    <w:qFormat/>
    <w:rsid w:val="00ff7257"/>
    <w:pPr>
      <w:spacing w:lineRule="auto" w:line="360" w:before="720" w:after="720"/>
      <w:jc w:val="both"/>
    </w:pPr>
    <w:rPr>
      <w:rFonts w:ascii="Times New Roman" w:hAnsi="Times New Roman" w:eastAsia="MS Minngs" w:cs="Times New Roman"/>
      <w:sz w:val="24"/>
      <w:szCs w:val="24"/>
      <w:lang w:eastAsia="pt-BR"/>
    </w:rPr>
  </w:style>
  <w:style w:type="paragraph" w:styleId="Corpodetexto21" w:customStyle="1">
    <w:name w:val="Corpo de texto 21"/>
    <w:basedOn w:val="Normal"/>
    <w:qFormat/>
    <w:rsid w:val="00ff725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360" w:before="0" w:after="0"/>
      <w:jc w:val="both"/>
      <w:textAlignment w:val="baseline"/>
    </w:pPr>
    <w:rPr>
      <w:rFonts w:ascii="Arial" w:hAnsi="Arial" w:eastAsia="Times New Roman" w:cs="Times New Roman"/>
      <w:sz w:val="24"/>
      <w:szCs w:val="20"/>
    </w:rPr>
  </w:style>
  <w:style w:type="paragraph" w:styleId="Corpo" w:customStyle="1">
    <w:name w:val="Corpo"/>
    <w:qFormat/>
    <w:rsid w:val="00ff7257"/>
    <w:pPr>
      <w:widowControl w:val="false"/>
      <w:suppressAutoHyphens w:val="true"/>
      <w:bidi w:val="0"/>
      <w:spacing w:lineRule="auto" w:line="360" w:before="0" w:after="0"/>
      <w:jc w:val="both"/>
    </w:pPr>
    <w:rPr>
      <w:rFonts w:ascii="Times New Roman" w:hAnsi="Times New Roman" w:eastAsia="Times New Roman" w:cs="Times New Roman"/>
      <w:color w:val="FF0000"/>
      <w:kern w:val="0"/>
      <w:sz w:val="24"/>
      <w:szCs w:val="20"/>
      <w:lang w:val="pt-BR" w:eastAsia="pt-BR" w:bidi="ar-SA"/>
    </w:rPr>
  </w:style>
  <w:style w:type="paragraph" w:styleId="Pargrafomultinvel" w:customStyle="1">
    <w:name w:val="Parágrafo multinível"/>
    <w:basedOn w:val="Normal"/>
    <w:qFormat/>
    <w:rsid w:val="00ff7257"/>
    <w:pPr>
      <w:numPr>
        <w:ilvl w:val="0"/>
        <w:numId w:val="3"/>
      </w:numPr>
      <w:spacing w:lineRule="auto" w:line="360" w:before="0" w:after="120"/>
      <w:jc w:val="both"/>
    </w:pPr>
    <w:rPr>
      <w:rFonts w:ascii="Times New Roman" w:hAnsi="Times New Roman" w:eastAsia="Times New Roman" w:cs="Times New Roman"/>
      <w:sz w:val="24"/>
      <w:szCs w:val="24"/>
      <w:lang w:eastAsia="pt-BR"/>
    </w:rPr>
  </w:style>
  <w:style w:type="paragraph" w:styleId="HTMLTopofForm">
    <w:name w:val="HTML Top of Form"/>
    <w:basedOn w:val="Normal"/>
    <w:next w:val="Normal"/>
    <w:link w:val="PartesuperiorzdoformulrioChar"/>
    <w:qFormat/>
    <w:rsid w:val="00ff7257"/>
    <w:pPr>
      <w:pBdr>
        <w:bottom w:val="single" w:sz="6" w:space="1" w:color="000000"/>
      </w:pBdr>
      <w:spacing w:lineRule="auto" w:line="360" w:before="0" w:after="0"/>
      <w:jc w:val="center"/>
    </w:pPr>
    <w:rPr>
      <w:rFonts w:ascii="Arial" w:hAnsi="Arial" w:eastAsia="Times New Roman" w:cs="Arial"/>
      <w:vanish/>
      <w:sz w:val="16"/>
      <w:szCs w:val="16"/>
      <w:lang w:eastAsia="pt-BR"/>
    </w:rPr>
  </w:style>
  <w:style w:type="paragraph" w:styleId="Style41" w:customStyle="1">
    <w:name w:val="Style 4"/>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3">
    <w:name w:val="Body Text 3"/>
    <w:basedOn w:val="Normal"/>
    <w:link w:val="Corpodetexto3Char"/>
    <w:qFormat/>
    <w:rsid w:val="00ff7257"/>
    <w:pPr>
      <w:spacing w:lineRule="auto" w:line="360" w:before="0" w:after="120"/>
      <w:jc w:val="both"/>
    </w:pPr>
    <w:rPr>
      <w:rFonts w:ascii="Cambria" w:hAnsi="Cambria" w:eastAsia="MS Minngs" w:cs="Cambria"/>
      <w:sz w:val="16"/>
      <w:szCs w:val="16"/>
    </w:rPr>
  </w:style>
  <w:style w:type="paragraph" w:styleId="Style31" w:customStyle="1">
    <w:name w:val="Style 3"/>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2">
    <w:name w:val="Body Text 2"/>
    <w:basedOn w:val="Normal"/>
    <w:link w:val="Corpodetexto2Char"/>
    <w:qFormat/>
    <w:rsid w:val="00ff7257"/>
    <w:pPr>
      <w:spacing w:lineRule="auto" w:line="480" w:before="0" w:after="120"/>
      <w:jc w:val="both"/>
    </w:pPr>
    <w:rPr>
      <w:rFonts w:ascii="Cambria" w:hAnsi="Cambria" w:eastAsia="MS Minngs" w:cs="Cambria"/>
      <w:sz w:val="24"/>
      <w:szCs w:val="24"/>
    </w:rPr>
  </w:style>
  <w:style w:type="paragraph" w:styleId="Estilo1" w:customStyle="1">
    <w:name w:val="Estilo1"/>
    <w:basedOn w:val="ListParagraph"/>
    <w:qFormat/>
    <w:rsid w:val="00ff7257"/>
    <w:pPr>
      <w:widowControl w:val="false"/>
      <w:numPr>
        <w:ilvl w:val="1"/>
        <w:numId w:val="4"/>
      </w:numPr>
      <w:spacing w:lineRule="auto" w:line="360" w:before="240" w:after="240"/>
      <w:contextualSpacing w:val="false"/>
      <w:jc w:val="both"/>
    </w:pPr>
    <w:rPr>
      <w:rFonts w:ascii="Arial" w:hAnsi="Arial" w:eastAsia="Calibri" w:cs="Arial"/>
      <w:sz w:val="24"/>
      <w:szCs w:val="24"/>
    </w:rPr>
  </w:style>
  <w:style w:type="paragraph" w:styleId="Estilo2" w:customStyle="1">
    <w:name w:val="Estilo2"/>
    <w:basedOn w:val="ListParagraph"/>
    <w:qFormat/>
    <w:rsid w:val="00ff7257"/>
    <w:pPr>
      <w:numPr>
        <w:ilvl w:val="2"/>
        <w:numId w:val="4"/>
      </w:numPr>
      <w:spacing w:lineRule="auto" w:line="360" w:before="0" w:after="240"/>
      <w:ind w:left="1560" w:hanging="840"/>
      <w:contextualSpacing w:val="false"/>
      <w:jc w:val="both"/>
    </w:pPr>
    <w:rPr>
      <w:rFonts w:ascii="Arial" w:hAnsi="Arial" w:eastAsia="Calibri" w:cs="Arial"/>
      <w:sz w:val="24"/>
      <w:szCs w:val="24"/>
    </w:rPr>
  </w:style>
  <w:style w:type="paragraph" w:styleId="Estilo3" w:customStyle="1">
    <w:name w:val="Estilo3"/>
    <w:basedOn w:val="Normal"/>
    <w:qFormat/>
    <w:rsid w:val="00ff7257"/>
    <w:pPr>
      <w:numPr>
        <w:ilvl w:val="0"/>
        <w:numId w:val="4"/>
      </w:numPr>
      <w:shd w:val="clear" w:color="auto" w:fill="EEECE1"/>
      <w:spacing w:lineRule="auto" w:line="360" w:before="0" w:after="240"/>
      <w:ind w:left="927" w:hanging="0"/>
      <w:jc w:val="both"/>
    </w:pPr>
    <w:rPr>
      <w:rFonts w:ascii="Arial" w:hAnsi="Arial" w:eastAsia="Times New Roman" w:cs="Arial"/>
      <w:b/>
      <w:bCs/>
      <w:sz w:val="24"/>
      <w:szCs w:val="24"/>
      <w:lang w:eastAsia="pt-BR"/>
    </w:rPr>
  </w:style>
  <w:style w:type="paragraph" w:styleId="Estilo2TCE" w:customStyle="1">
    <w:name w:val="Estilo2 -TCE"/>
    <w:basedOn w:val="Corpodotexto"/>
    <w:link w:val="Estilo2TCEChar"/>
    <w:qFormat/>
    <w:rsid w:val="00ff7257"/>
    <w:pPr>
      <w:widowControl/>
      <w:spacing w:lineRule="auto" w:line="276"/>
      <w:jc w:val="both"/>
    </w:pPr>
    <w:rPr>
      <w:rFonts w:ascii="Arial" w:hAnsi="Arial" w:eastAsia="TimesNewRomanPS-BoldMT" w:cs="Arial"/>
      <w:sz w:val="22"/>
      <w:szCs w:val="22"/>
      <w:lang w:val="pt-BR"/>
    </w:rPr>
  </w:style>
  <w:style w:type="paragraph" w:styleId="Msonormal" w:customStyle="1">
    <w:name w:val="msonormal"/>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Paragraph" w:customStyle="1">
    <w:name w:val="paragraph"/>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Outlineelement" w:customStyle="1">
    <w:name w:val="outlineelement"/>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Quote">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Contedodatabela" w:customStyle="1">
    <w:name w:val="Conteúdo da tabela"/>
    <w:basedOn w:val="Normal"/>
    <w:qFormat/>
    <w:rsid w:val="00b37563"/>
    <w:pPr>
      <w:spacing w:lineRule="auto" w:line="240" w:before="0" w:after="0"/>
    </w:pPr>
    <w:rPr>
      <w:rFonts w:ascii="Times New Roman" w:hAnsi="Times New Roman" w:eastAsia="Times New Roman" w:cs="Times New Roman"/>
      <w:sz w:val="24"/>
      <w:szCs w:val="20"/>
      <w:lang w:eastAsia="pt-BR"/>
    </w:rPr>
  </w:style>
  <w:style w:type="paragraph" w:styleId="PADRO">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PargrafodaLista">
    <w:name w:val="Parágrafo da Lista"/>
    <w:basedOn w:val="Normal"/>
    <w:qFormat/>
    <w:pPr>
      <w:spacing w:lineRule="auto" w:line="276" w:before="0" w:after="200"/>
      <w:ind w:left="720" w:right="0" w:hanging="0"/>
      <w:contextualSpacing/>
    </w:pPr>
    <w:rPr>
      <w:rFonts w:ascii="Calibri" w:hAnsi="Calibri" w:eastAsia="Calibri" w:cs="Calibri"/>
      <w:sz w:val="22"/>
      <w:szCs w:val="22"/>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59"/>
    <w:rsid w:val="002a290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1">
    <w:name w:val="Tabela com grade1"/>
    <w:basedOn w:val="Tabelanormal"/>
    <w:uiPriority w:val="39"/>
    <w:rsid w:val="005a3a3e"/>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hyperlink" Target="mailto:saogabrielprev@gmail.com" TargetMode="Externa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_rels/header3.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Application>LibreOffice/7.4.4.2$Windows_X86_64 LibreOffice_project/85569322deea74ec9134968a29af2df5663baa21</Application>
  <AppVersion>15.0000</AppVersion>
  <Pages>8</Pages>
  <Words>2143</Words>
  <Characters>12005</Characters>
  <CharactersWithSpaces>14051</CharactersWithSpaces>
  <Paragraphs>138</Paragraphs>
  <Company>TCE-ES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2024-02-06T14:33:00Z</dcterms:created>
  <dc:creator>TCE-ES</dc:creator>
  <dc:description/>
  <dc:language>pt-BR</dc:language>
  <cp:lastModifiedBy/>
  <cp:lastPrinted>2024-10-30T16:06:38Z</cp:lastPrinted>
  <dcterms:modified xsi:type="dcterms:W3CDTF">2024-10-30T16:06:22Z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file>